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BA728" w14:textId="13C7417B" w:rsidR="00F8019D" w:rsidRPr="00D32D44" w:rsidRDefault="00F8019D" w:rsidP="00F8019D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b/>
          <w:bCs/>
          <w:kern w:val="0"/>
          <w:sz w:val="28"/>
          <w:szCs w:val="28"/>
        </w:rPr>
      </w:pPr>
      <w:r w:rsidRPr="00D32D44">
        <w:rPr>
          <w:rFonts w:cs="Times New Roman"/>
          <w:b/>
          <w:bCs/>
          <w:kern w:val="0"/>
          <w:sz w:val="28"/>
          <w:szCs w:val="28"/>
        </w:rPr>
        <w:t>Clinical practice guidance for the safe use of glucagon-like</w:t>
      </w:r>
    </w:p>
    <w:p w14:paraId="7D004EAA" w14:textId="20DCB244" w:rsidR="00F8019D" w:rsidRPr="00D32D44" w:rsidRDefault="00F8019D" w:rsidP="00F8019D">
      <w:pPr>
        <w:spacing w:after="0" w:line="240" w:lineRule="auto"/>
        <w:jc w:val="center"/>
        <w:rPr>
          <w:rFonts w:cs="Times New Roman"/>
          <w:b/>
          <w:bCs/>
          <w:kern w:val="0"/>
          <w:sz w:val="28"/>
          <w:szCs w:val="28"/>
        </w:rPr>
      </w:pPr>
      <w:r w:rsidRPr="00D32D44">
        <w:rPr>
          <w:rFonts w:cs="Times New Roman"/>
          <w:b/>
          <w:bCs/>
          <w:kern w:val="0"/>
          <w:sz w:val="28"/>
          <w:szCs w:val="28"/>
        </w:rPr>
        <w:t>peptide-1 receptor agonists (GLP-1RAs) in the perioperative period</w:t>
      </w:r>
    </w:p>
    <w:p w14:paraId="30FEE18F" w14:textId="77777777" w:rsidR="00F8019D" w:rsidRPr="00D32D44" w:rsidRDefault="00F8019D" w:rsidP="00F8019D">
      <w:pPr>
        <w:spacing w:after="0" w:line="240" w:lineRule="auto"/>
        <w:jc w:val="center"/>
        <w:rPr>
          <w:rFonts w:cs="Times New Roman"/>
          <w:b/>
          <w:bCs/>
          <w:kern w:val="0"/>
          <w:sz w:val="28"/>
          <w:szCs w:val="28"/>
        </w:rPr>
      </w:pPr>
    </w:p>
    <w:p w14:paraId="121BCB3E" w14:textId="62941B92" w:rsidR="00F8019D" w:rsidRPr="00D32D44" w:rsidRDefault="00F8019D" w:rsidP="00F8019D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b/>
          <w:bCs/>
          <w:kern w:val="0"/>
          <w:sz w:val="28"/>
          <w:szCs w:val="28"/>
        </w:rPr>
      </w:pPr>
      <w:r w:rsidRPr="00D32D44">
        <w:rPr>
          <w:rFonts w:cs="Times New Roman"/>
          <w:b/>
          <w:bCs/>
          <w:kern w:val="0"/>
          <w:sz w:val="28"/>
          <w:szCs w:val="28"/>
        </w:rPr>
        <w:t>Purpose</w:t>
      </w:r>
    </w:p>
    <w:p w14:paraId="025E05E1" w14:textId="512A4326" w:rsidR="00F8019D" w:rsidRPr="00D32D44" w:rsidRDefault="00F8019D" w:rsidP="00F8019D">
      <w:pPr>
        <w:pStyle w:val="ListParagraph"/>
        <w:spacing w:after="0" w:line="240" w:lineRule="auto"/>
        <w:ind w:left="1080"/>
        <w:rPr>
          <w:rFonts w:cs="Times New Roman"/>
          <w:kern w:val="0"/>
        </w:rPr>
      </w:pPr>
      <w:r w:rsidRPr="00D32D44">
        <w:rPr>
          <w:rFonts w:cs="Times New Roman"/>
          <w:kern w:val="0"/>
        </w:rPr>
        <w:t>The purpose of this clinical practice guideline summary is to provide recommendations for the management of glucagon-like peptide-1 receptor agonists (GLP-1RAs) during the perioperative period. These recommendations are irrespective of the indication for GLP-1RAs (e.g., weight loss versus diabetes).</w:t>
      </w:r>
    </w:p>
    <w:p w14:paraId="1B3DF038" w14:textId="77777777" w:rsidR="00F8019D" w:rsidRPr="00D32D44" w:rsidRDefault="00F8019D" w:rsidP="00F8019D">
      <w:pPr>
        <w:spacing w:after="0" w:line="240" w:lineRule="auto"/>
        <w:rPr>
          <w:rFonts w:cs="Times New Roman"/>
          <w:b/>
          <w:bCs/>
          <w:kern w:val="0"/>
          <w:sz w:val="28"/>
          <w:szCs w:val="28"/>
        </w:rPr>
      </w:pPr>
    </w:p>
    <w:p w14:paraId="509622D1" w14:textId="160D85A3" w:rsidR="00F8019D" w:rsidRPr="00D32D44" w:rsidRDefault="00F8019D" w:rsidP="00F8019D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b/>
          <w:bCs/>
          <w:kern w:val="0"/>
          <w:sz w:val="28"/>
          <w:szCs w:val="28"/>
        </w:rPr>
      </w:pPr>
      <w:r w:rsidRPr="00D32D44">
        <w:rPr>
          <w:rFonts w:cs="Times New Roman"/>
          <w:b/>
          <w:bCs/>
          <w:kern w:val="0"/>
          <w:sz w:val="28"/>
          <w:szCs w:val="28"/>
        </w:rPr>
        <w:t>Introduction</w:t>
      </w:r>
    </w:p>
    <w:p w14:paraId="57939052" w14:textId="77777777" w:rsidR="00F8019D" w:rsidRPr="00D32D44" w:rsidRDefault="00F8019D" w:rsidP="00F8019D">
      <w:pPr>
        <w:pStyle w:val="ListParagraph"/>
        <w:spacing w:after="0" w:line="240" w:lineRule="auto"/>
        <w:ind w:left="1080"/>
        <w:rPr>
          <w:rFonts w:cs="Times New Roman"/>
          <w:b/>
          <w:bCs/>
          <w:kern w:val="0"/>
          <w:sz w:val="28"/>
          <w:szCs w:val="28"/>
        </w:rPr>
      </w:pPr>
    </w:p>
    <w:p w14:paraId="6F620CCE" w14:textId="13B4C99A" w:rsidR="00F8019D" w:rsidRPr="00D32D44" w:rsidRDefault="00F8019D" w:rsidP="00F801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40"/>
        <w:rPr>
          <w:rFonts w:cs="Times New Roman"/>
          <w:color w:val="000000"/>
          <w:kern w:val="0"/>
        </w:rPr>
      </w:pPr>
      <w:r w:rsidRPr="00D32D44">
        <w:rPr>
          <w:rFonts w:cs="Times New Roman"/>
          <w:color w:val="000000"/>
          <w:kern w:val="0"/>
        </w:rPr>
        <w:t xml:space="preserve">Glucagon-like peptide-1 receptor agonists (GLP-1RAs) are increasingly used in for the management of metabolic disease (i.e., diabetes mellitus and obesity). These agents decrease hyperglycemia while also enhancing satiety and have demonstrated effectiveness as a medical management option for weight loss. </w:t>
      </w:r>
    </w:p>
    <w:p w14:paraId="4B98005F" w14:textId="3562A8F3" w:rsidR="00F8019D" w:rsidRPr="00D32D44" w:rsidRDefault="00F8019D" w:rsidP="00F801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40"/>
        <w:rPr>
          <w:rFonts w:cs="Times New Roman"/>
          <w:color w:val="000000"/>
          <w:kern w:val="0"/>
        </w:rPr>
      </w:pPr>
      <w:r w:rsidRPr="00D32D44">
        <w:rPr>
          <w:rFonts w:cs="Times New Roman"/>
          <w:color w:val="000000"/>
          <w:kern w:val="0"/>
        </w:rPr>
        <w:t xml:space="preserve">Safety concerns have been raised because GLP-1RAs may increase gastric emptying time and increase residual gastric contents. GLP-1RAs also have side effects to include nausea, vomiting, and constipation. Some reports have been published regarding pulmonary aspiration of gastric contents in patients undergoing procedural sedation and/or general anesthesia on GLP-1RAs. </w:t>
      </w:r>
    </w:p>
    <w:p w14:paraId="1C9EADD6" w14:textId="0BF7A63B" w:rsidR="00F8019D" w:rsidRPr="00D32D44" w:rsidRDefault="00F8019D" w:rsidP="00F8019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1440"/>
        <w:rPr>
          <w:rFonts w:cs="Times New Roman"/>
          <w:color w:val="000000"/>
          <w:kern w:val="0"/>
        </w:rPr>
      </w:pPr>
      <w:r w:rsidRPr="00D32D44">
        <w:rPr>
          <w:rFonts w:cs="Times New Roman"/>
          <w:color w:val="001D35"/>
          <w:shd w:val="clear" w:color="auto" w:fill="FFFFFF"/>
        </w:rPr>
        <w:t>Currently approved GLP-1RAs include </w:t>
      </w:r>
      <w:r w:rsidRPr="00D32D44">
        <w:rPr>
          <w:rFonts w:cs="Times New Roman"/>
        </w:rPr>
        <w:t>dulaglutide (Trulicity®), exenatide (</w:t>
      </w:r>
      <w:proofErr w:type="spellStart"/>
      <w:r w:rsidRPr="00D32D44">
        <w:rPr>
          <w:rFonts w:cs="Times New Roman"/>
        </w:rPr>
        <w:t>Bydureon</w:t>
      </w:r>
      <w:proofErr w:type="spellEnd"/>
      <w:r w:rsidRPr="00D32D44">
        <w:rPr>
          <w:rFonts w:cs="Times New Roman"/>
        </w:rPr>
        <w:t xml:space="preserve">®, Byetta ®), liraglutide (Victoza®, </w:t>
      </w:r>
      <w:proofErr w:type="spellStart"/>
      <w:r w:rsidRPr="00D32D44">
        <w:rPr>
          <w:rFonts w:cs="Times New Roman"/>
        </w:rPr>
        <w:t>Saxenda</w:t>
      </w:r>
      <w:proofErr w:type="spellEnd"/>
      <w:r w:rsidRPr="00D32D44">
        <w:rPr>
          <w:rFonts w:cs="Times New Roman"/>
        </w:rPr>
        <w:t xml:space="preserve">®), </w:t>
      </w:r>
      <w:proofErr w:type="spellStart"/>
      <w:r w:rsidRPr="00D32D44">
        <w:rPr>
          <w:rFonts w:cs="Times New Roman"/>
        </w:rPr>
        <w:t>semaglutide</w:t>
      </w:r>
      <w:proofErr w:type="spellEnd"/>
      <w:r w:rsidRPr="00D32D44">
        <w:rPr>
          <w:rFonts w:cs="Times New Roman"/>
        </w:rPr>
        <w:t xml:space="preserve"> (Ozempic®, </w:t>
      </w:r>
      <w:proofErr w:type="spellStart"/>
      <w:r w:rsidRPr="00D32D44">
        <w:rPr>
          <w:rFonts w:cs="Times New Roman"/>
        </w:rPr>
        <w:t>Wegovy</w:t>
      </w:r>
      <w:proofErr w:type="spellEnd"/>
      <w:r w:rsidRPr="00D32D44">
        <w:rPr>
          <w:rFonts w:cs="Times New Roman"/>
        </w:rPr>
        <w:t xml:space="preserve">®, </w:t>
      </w:r>
      <w:proofErr w:type="spellStart"/>
      <w:r w:rsidRPr="00D32D44">
        <w:rPr>
          <w:rFonts w:cs="Times New Roman"/>
        </w:rPr>
        <w:t>Rybelsus</w:t>
      </w:r>
      <w:proofErr w:type="spellEnd"/>
      <w:r w:rsidRPr="00D32D44">
        <w:rPr>
          <w:rFonts w:cs="Times New Roman"/>
        </w:rPr>
        <w:t xml:space="preserve">®), and </w:t>
      </w:r>
      <w:proofErr w:type="spellStart"/>
      <w:r w:rsidRPr="00D32D44">
        <w:rPr>
          <w:rFonts w:cs="Times New Roman"/>
        </w:rPr>
        <w:t>tirzepatide</w:t>
      </w:r>
      <w:proofErr w:type="spellEnd"/>
      <w:r w:rsidRPr="00D32D44">
        <w:rPr>
          <w:rFonts w:cs="Times New Roman"/>
        </w:rPr>
        <w:t xml:space="preserve"> (</w:t>
      </w:r>
      <w:proofErr w:type="spellStart"/>
      <w:r w:rsidRPr="00D32D44">
        <w:rPr>
          <w:rFonts w:cs="Times New Roman"/>
        </w:rPr>
        <w:t>Mounjaro</w:t>
      </w:r>
      <w:proofErr w:type="spellEnd"/>
      <w:r w:rsidRPr="00D32D44">
        <w:rPr>
          <w:rFonts w:cs="Times New Roman"/>
        </w:rPr>
        <w:t xml:space="preserve">®, </w:t>
      </w:r>
      <w:proofErr w:type="spellStart"/>
      <w:r w:rsidRPr="00D32D44">
        <w:rPr>
          <w:rFonts w:cs="Times New Roman"/>
        </w:rPr>
        <w:t>Zepbound</w:t>
      </w:r>
      <w:proofErr w:type="spellEnd"/>
      <w:r w:rsidRPr="00D32D44">
        <w:rPr>
          <w:rFonts w:cs="Times New Roman"/>
        </w:rPr>
        <w:t>®)</w:t>
      </w:r>
    </w:p>
    <w:p w14:paraId="4CCB9F61" w14:textId="77777777" w:rsidR="00F8019D" w:rsidRPr="00D32D44" w:rsidRDefault="00F8019D" w:rsidP="00F8019D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cs="Times New Roman"/>
          <w:color w:val="000000"/>
          <w:kern w:val="0"/>
        </w:rPr>
      </w:pPr>
    </w:p>
    <w:p w14:paraId="02F4F192" w14:textId="642FE255" w:rsidR="00F8019D" w:rsidRPr="00D32D44" w:rsidRDefault="00F8019D" w:rsidP="00F8019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  <w:sz w:val="28"/>
          <w:szCs w:val="28"/>
        </w:rPr>
      </w:pPr>
      <w:r w:rsidRPr="00D32D44">
        <w:rPr>
          <w:rFonts w:cs="Times New Roman"/>
          <w:b/>
          <w:bCs/>
          <w:color w:val="000000"/>
          <w:kern w:val="0"/>
          <w:sz w:val="28"/>
          <w:szCs w:val="28"/>
        </w:rPr>
        <w:t>Recommendations</w:t>
      </w:r>
    </w:p>
    <w:p w14:paraId="0F8C8D4B" w14:textId="77777777" w:rsidR="00F8019D" w:rsidRPr="00D32D44" w:rsidRDefault="00F8019D" w:rsidP="00F8019D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  <w:sz w:val="28"/>
          <w:szCs w:val="28"/>
        </w:rPr>
      </w:pPr>
    </w:p>
    <w:p w14:paraId="2C2702E2" w14:textId="66A92C8E" w:rsidR="00F8019D" w:rsidRPr="00D32D44" w:rsidRDefault="00F8019D" w:rsidP="00F8019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440"/>
        <w:rPr>
          <w:rFonts w:cs="Times New Roman"/>
          <w:b/>
          <w:bCs/>
          <w:color w:val="000000"/>
          <w:kern w:val="0"/>
        </w:rPr>
      </w:pPr>
      <w:r w:rsidRPr="00D32D44">
        <w:rPr>
          <w:rFonts w:cs="Times New Roman"/>
          <w:color w:val="000000"/>
          <w:kern w:val="0"/>
        </w:rPr>
        <w:t>Prior to surgery, patients should be evaluated for risk factors for aspiration:</w:t>
      </w:r>
    </w:p>
    <w:p w14:paraId="4BF47BD6" w14:textId="5DE52FEC" w:rsidR="00F8019D" w:rsidRPr="00D32D44" w:rsidRDefault="00F8019D" w:rsidP="00F8019D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</w:rPr>
      </w:pPr>
      <w:r w:rsidRPr="00D32D44">
        <w:rPr>
          <w:rFonts w:cs="Times New Roman"/>
          <w:b/>
          <w:bCs/>
          <w:color w:val="000000"/>
          <w:kern w:val="0"/>
        </w:rPr>
        <w:t>Escalation phase</w:t>
      </w:r>
      <w:r w:rsidRPr="00D32D44">
        <w:rPr>
          <w:rFonts w:cs="Times New Roman"/>
          <w:color w:val="000000"/>
          <w:kern w:val="0"/>
        </w:rPr>
        <w:t>: associated with a higher risk of delayed gastric emptying</w:t>
      </w:r>
    </w:p>
    <w:p w14:paraId="24D13468" w14:textId="53B97AE3" w:rsidR="00F8019D" w:rsidRPr="00D32D44" w:rsidRDefault="00F8019D" w:rsidP="00F8019D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</w:rPr>
      </w:pPr>
      <w:r w:rsidRPr="00D32D44">
        <w:rPr>
          <w:rFonts w:cs="Times New Roman"/>
          <w:b/>
          <w:bCs/>
          <w:color w:val="000000"/>
          <w:kern w:val="0"/>
        </w:rPr>
        <w:t>Higher doses</w:t>
      </w:r>
      <w:r w:rsidRPr="00D32D44">
        <w:rPr>
          <w:rFonts w:cs="Times New Roman"/>
          <w:color w:val="000000"/>
          <w:kern w:val="0"/>
        </w:rPr>
        <w:t>: gastrointestinal side effects more likely with higher doses</w:t>
      </w:r>
    </w:p>
    <w:p w14:paraId="02A8DA2D" w14:textId="3278E341" w:rsidR="00F8019D" w:rsidRPr="00D32D44" w:rsidRDefault="00F8019D" w:rsidP="00F8019D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</w:rPr>
      </w:pPr>
      <w:r w:rsidRPr="00D32D44">
        <w:rPr>
          <w:rFonts w:cs="Times New Roman"/>
          <w:b/>
          <w:bCs/>
          <w:color w:val="000000"/>
          <w:kern w:val="0"/>
        </w:rPr>
        <w:t>Weekly dosing</w:t>
      </w:r>
      <w:r w:rsidRPr="00D32D44">
        <w:rPr>
          <w:rFonts w:cs="Times New Roman"/>
          <w:color w:val="000000"/>
          <w:kern w:val="0"/>
        </w:rPr>
        <w:t>: gastrointestinal side effects more likely with weekly dosing</w:t>
      </w:r>
    </w:p>
    <w:p w14:paraId="079AC835" w14:textId="3FE597EE" w:rsidR="00F8019D" w:rsidRPr="00D32D44" w:rsidRDefault="00F8019D" w:rsidP="00F8019D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  <w:sz w:val="28"/>
          <w:szCs w:val="28"/>
        </w:rPr>
      </w:pPr>
      <w:r w:rsidRPr="00D32D44">
        <w:rPr>
          <w:rFonts w:cs="Times New Roman"/>
          <w:b/>
          <w:bCs/>
          <w:color w:val="000000"/>
          <w:kern w:val="0"/>
        </w:rPr>
        <w:t>Gastrointestinal symptoms</w:t>
      </w:r>
      <w:r w:rsidRPr="00D32D44">
        <w:rPr>
          <w:rFonts w:cs="Times New Roman"/>
          <w:color w:val="000000"/>
          <w:kern w:val="0"/>
        </w:rPr>
        <w:t xml:space="preserve">: symptoms </w:t>
      </w:r>
      <w:r w:rsidRPr="00BF3859">
        <w:rPr>
          <w:rFonts w:cs="Times New Roman"/>
          <w:color w:val="000000"/>
          <w:kern w:val="0"/>
        </w:rPr>
        <w:t>such as nausea, vomiting, abdominal pain, dyspepsia, or constipation may suggest delayed gastric emptying and decreased intestinal transit time</w:t>
      </w:r>
    </w:p>
    <w:p w14:paraId="271E24DA" w14:textId="503D298D" w:rsidR="00F8019D" w:rsidRPr="00D32D44" w:rsidRDefault="00F8019D" w:rsidP="00F8019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530"/>
        <w:rPr>
          <w:rFonts w:cs="Times New Roman"/>
          <w:b/>
          <w:bCs/>
          <w:color w:val="000000"/>
          <w:kern w:val="0"/>
        </w:rPr>
      </w:pPr>
      <w:r w:rsidRPr="00D32D44">
        <w:rPr>
          <w:rFonts w:cs="Times New Roman"/>
          <w:b/>
          <w:bCs/>
          <w:color w:val="000000"/>
          <w:kern w:val="0"/>
        </w:rPr>
        <w:t xml:space="preserve">If risk factors </w:t>
      </w:r>
      <w:r w:rsidRPr="00D32D44">
        <w:rPr>
          <w:rFonts w:cs="Times New Roman"/>
          <w:b/>
          <w:bCs/>
          <w:color w:val="000000"/>
          <w:kern w:val="0"/>
          <w:u w:val="single"/>
        </w:rPr>
        <w:t>are NOT</w:t>
      </w:r>
      <w:r w:rsidRPr="00D32D44">
        <w:rPr>
          <w:rFonts w:cs="Times New Roman"/>
          <w:b/>
          <w:bCs/>
          <w:color w:val="000000"/>
          <w:kern w:val="0"/>
        </w:rPr>
        <w:t xml:space="preserve"> present, GLP-1RAs may be continued </w:t>
      </w:r>
      <w:r w:rsidRPr="00D32D44">
        <w:rPr>
          <w:rFonts w:cs="Times New Roman"/>
          <w:b/>
          <w:bCs/>
          <w:color w:val="000000"/>
          <w:kern w:val="0"/>
          <w:u w:val="single"/>
        </w:rPr>
        <w:t>without interruption</w:t>
      </w:r>
    </w:p>
    <w:p w14:paraId="654C282C" w14:textId="7F8F5E6C" w:rsidR="00F8019D" w:rsidRPr="00D32D44" w:rsidRDefault="00F8019D" w:rsidP="00F8019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530"/>
        <w:rPr>
          <w:rFonts w:cs="Times New Roman"/>
          <w:b/>
          <w:bCs/>
          <w:color w:val="000000"/>
          <w:kern w:val="0"/>
        </w:rPr>
      </w:pPr>
      <w:r w:rsidRPr="00D32D44">
        <w:rPr>
          <w:rFonts w:cs="Times New Roman"/>
          <w:b/>
          <w:bCs/>
          <w:color w:val="000000"/>
          <w:kern w:val="0"/>
        </w:rPr>
        <w:t xml:space="preserve">If risk factors </w:t>
      </w:r>
      <w:r w:rsidRPr="00D32D44">
        <w:rPr>
          <w:rFonts w:cs="Times New Roman"/>
          <w:b/>
          <w:bCs/>
          <w:color w:val="000000"/>
          <w:kern w:val="0"/>
          <w:u w:val="single"/>
        </w:rPr>
        <w:t>are</w:t>
      </w:r>
      <w:r w:rsidRPr="00D32D44">
        <w:rPr>
          <w:rFonts w:cs="Times New Roman"/>
          <w:b/>
          <w:bCs/>
          <w:color w:val="000000"/>
          <w:kern w:val="0"/>
        </w:rPr>
        <w:t xml:space="preserve"> present:</w:t>
      </w:r>
    </w:p>
    <w:p w14:paraId="6B6C1E13" w14:textId="712D8ED5" w:rsidR="00F8019D" w:rsidRPr="00D32D44" w:rsidRDefault="00F8019D" w:rsidP="00F8019D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</w:rPr>
      </w:pPr>
      <w:r w:rsidRPr="00D32D44">
        <w:rPr>
          <w:rFonts w:cs="Times New Roman"/>
          <w:color w:val="000000"/>
          <w:kern w:val="0"/>
        </w:rPr>
        <w:lastRenderedPageBreak/>
        <w:t xml:space="preserve">If taking </w:t>
      </w:r>
      <w:r w:rsidRPr="00D32D44">
        <w:rPr>
          <w:rFonts w:cs="Times New Roman"/>
          <w:color w:val="000000"/>
          <w:kern w:val="0"/>
          <w:u w:val="single"/>
        </w:rPr>
        <w:t>daily</w:t>
      </w:r>
      <w:r w:rsidRPr="00D32D44">
        <w:rPr>
          <w:rFonts w:cs="Times New Roman"/>
          <w:color w:val="000000"/>
          <w:kern w:val="0"/>
        </w:rPr>
        <w:t xml:space="preserve">, </w:t>
      </w:r>
      <w:r w:rsidRPr="00D32D44">
        <w:rPr>
          <w:rFonts w:cs="Times New Roman"/>
          <w:b/>
          <w:bCs/>
          <w:color w:val="000000"/>
          <w:kern w:val="0"/>
        </w:rPr>
        <w:t>HOLD</w:t>
      </w:r>
      <w:r w:rsidRPr="00D32D44">
        <w:rPr>
          <w:rFonts w:cs="Times New Roman"/>
          <w:color w:val="000000"/>
          <w:kern w:val="0"/>
        </w:rPr>
        <w:t xml:space="preserve"> GLP-1RA on the </w:t>
      </w:r>
      <w:r w:rsidRPr="00D32D44">
        <w:rPr>
          <w:rFonts w:cs="Times New Roman"/>
          <w:color w:val="000000"/>
          <w:kern w:val="0"/>
          <w:u w:val="single"/>
        </w:rPr>
        <w:t>day of surgery</w:t>
      </w:r>
    </w:p>
    <w:p w14:paraId="3B183869" w14:textId="269DF503" w:rsidR="00F8019D" w:rsidRPr="00D32D44" w:rsidRDefault="00F8019D" w:rsidP="00F8019D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</w:rPr>
      </w:pPr>
      <w:r w:rsidRPr="00D32D44">
        <w:rPr>
          <w:rFonts w:cs="Times New Roman"/>
          <w:color w:val="000000"/>
          <w:kern w:val="0"/>
        </w:rPr>
        <w:t xml:space="preserve">If taking </w:t>
      </w:r>
      <w:r w:rsidRPr="00D32D44">
        <w:rPr>
          <w:rFonts w:cs="Times New Roman"/>
          <w:color w:val="000000"/>
          <w:kern w:val="0"/>
          <w:u w:val="single"/>
        </w:rPr>
        <w:t>weekly</w:t>
      </w:r>
      <w:r w:rsidRPr="00D32D44">
        <w:rPr>
          <w:rFonts w:cs="Times New Roman"/>
          <w:color w:val="000000"/>
          <w:kern w:val="0"/>
        </w:rPr>
        <w:t xml:space="preserve">, </w:t>
      </w:r>
      <w:r w:rsidRPr="00D32D44">
        <w:rPr>
          <w:rFonts w:cs="Times New Roman"/>
          <w:b/>
          <w:bCs/>
          <w:color w:val="000000"/>
          <w:kern w:val="0"/>
        </w:rPr>
        <w:t>HOLD</w:t>
      </w:r>
      <w:r w:rsidRPr="00D32D44">
        <w:rPr>
          <w:rFonts w:cs="Times New Roman"/>
          <w:color w:val="000000"/>
          <w:kern w:val="0"/>
        </w:rPr>
        <w:t xml:space="preserve"> for </w:t>
      </w:r>
      <w:r w:rsidRPr="00D32D44">
        <w:rPr>
          <w:rFonts w:cs="Times New Roman"/>
          <w:color w:val="000000"/>
          <w:kern w:val="0"/>
          <w:u w:val="single"/>
        </w:rPr>
        <w:t>one week prior to surgery</w:t>
      </w:r>
    </w:p>
    <w:p w14:paraId="210E6DD6" w14:textId="66D8FE79" w:rsidR="00F8019D" w:rsidRPr="00D32D44" w:rsidRDefault="00125900" w:rsidP="00F8019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  <w:sz w:val="28"/>
          <w:szCs w:val="28"/>
        </w:rPr>
      </w:pPr>
      <w:r w:rsidRPr="00D32D44">
        <w:rPr>
          <w:rFonts w:cs="Times New Roman"/>
          <w:color w:val="000000"/>
          <w:kern w:val="0"/>
          <w:sz w:val="28"/>
          <w:szCs w:val="28"/>
        </w:rPr>
        <w:t>Guidance provided by the 2024 ASMBS and ASA should be followed including recommendations for preoperative diet modifications and anesthesia techniques</w:t>
      </w:r>
      <w:r w:rsidR="00D32D44" w:rsidRPr="00D32D44">
        <w:rPr>
          <w:rFonts w:cs="Times New Roman"/>
          <w:color w:val="000000"/>
          <w:kern w:val="0"/>
          <w:sz w:val="28"/>
          <w:szCs w:val="28"/>
        </w:rPr>
        <w:t xml:space="preserve"> (see below). </w:t>
      </w:r>
      <w:r w:rsidRPr="00D32D44">
        <w:rPr>
          <w:rFonts w:cs="Times New Roman"/>
          <w:b/>
          <w:bCs/>
          <w:color w:val="000000"/>
          <w:kern w:val="0"/>
          <w:sz w:val="28"/>
          <w:szCs w:val="28"/>
        </w:rPr>
        <w:t xml:space="preserve"> </w:t>
      </w:r>
    </w:p>
    <w:p w14:paraId="0FB7F21D" w14:textId="77777777" w:rsidR="00125900" w:rsidRPr="00D32D44" w:rsidRDefault="00125900" w:rsidP="00125900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  <w:r w:rsidRPr="00D32D44">
        <w:rPr>
          <w:rFonts w:cs="Times New Roman"/>
          <w:color w:val="000000"/>
          <w:kern w:val="0"/>
          <w:sz w:val="28"/>
          <w:szCs w:val="28"/>
        </w:rPr>
        <w:t>Point-of-care gastric ultrasound may be used to further assess the risk for aspiration</w:t>
      </w:r>
    </w:p>
    <w:p w14:paraId="0B0C0CEE" w14:textId="199CB0BD" w:rsidR="00125900" w:rsidRPr="00D32D44" w:rsidRDefault="00125900" w:rsidP="00125900">
      <w:pPr>
        <w:pStyle w:val="ListParagraph"/>
        <w:numPr>
          <w:ilvl w:val="2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  <w:r w:rsidRPr="00D32D44">
        <w:rPr>
          <w:rFonts w:cs="Times New Roman"/>
          <w:color w:val="000000"/>
          <w:kern w:val="0"/>
          <w:sz w:val="28"/>
          <w:szCs w:val="28"/>
        </w:rPr>
        <w:t xml:space="preserve">Rapid sequence intubation may be considered to minimize the aspiration risk </w:t>
      </w:r>
    </w:p>
    <w:p w14:paraId="3FA1A8A2" w14:textId="69D43FB1" w:rsidR="00125900" w:rsidRPr="00D32D44" w:rsidRDefault="00D32D44" w:rsidP="0012590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  <w:r w:rsidRPr="00D32D44">
        <w:rPr>
          <w:rFonts w:cs="Times New Roman"/>
          <w:color w:val="000000"/>
          <w:kern w:val="0"/>
          <w:sz w:val="28"/>
          <w:szCs w:val="28"/>
        </w:rPr>
        <w:t xml:space="preserve">Shared decision making between the anesthesiologist, surgeon/proceduralist and the patient should occur. </w:t>
      </w:r>
    </w:p>
    <w:p w14:paraId="1E4C70C9" w14:textId="16130D78" w:rsidR="00D32D44" w:rsidRPr="00D32D44" w:rsidRDefault="00D32D44" w:rsidP="0012590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  <w:r w:rsidRPr="00D32D44">
        <w:rPr>
          <w:rFonts w:cs="Times New Roman"/>
          <w:color w:val="000000"/>
          <w:kern w:val="0"/>
          <w:sz w:val="28"/>
          <w:szCs w:val="28"/>
        </w:rPr>
        <w:t xml:space="preserve">Patients should be advised of the potential risk for aspiration due to the use of GLP-1RAs as part of the informed consent process. </w:t>
      </w:r>
    </w:p>
    <w:p w14:paraId="1EDC6843" w14:textId="77777777" w:rsidR="00D32D44" w:rsidRPr="00D32D44" w:rsidRDefault="00D32D44" w:rsidP="00D32D44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</w:p>
    <w:p w14:paraId="6439AC87" w14:textId="78EF1192" w:rsidR="00D32D44" w:rsidRPr="00D32D44" w:rsidRDefault="00D32D44" w:rsidP="00D32D4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  <w:sz w:val="28"/>
          <w:szCs w:val="28"/>
        </w:rPr>
      </w:pPr>
      <w:r w:rsidRPr="00D32D44">
        <w:rPr>
          <w:rFonts w:cs="Times New Roman"/>
          <w:b/>
          <w:bCs/>
          <w:color w:val="000000"/>
          <w:kern w:val="0"/>
          <w:sz w:val="28"/>
          <w:szCs w:val="28"/>
        </w:rPr>
        <w:t>References</w:t>
      </w:r>
    </w:p>
    <w:p w14:paraId="75FFC868" w14:textId="77777777" w:rsidR="00D32D44" w:rsidRPr="00D32D44" w:rsidRDefault="00D32D44" w:rsidP="00D32D44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</w:p>
    <w:p w14:paraId="7DD56814" w14:textId="77777777" w:rsidR="00D32D44" w:rsidRPr="00D32D44" w:rsidRDefault="00D32D44" w:rsidP="00D32D44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 w:rsidRPr="00D32D44">
        <w:rPr>
          <w:rFonts w:cs="Times New Roman"/>
          <w:color w:val="212121"/>
          <w:shd w:val="clear" w:color="auto" w:fill="FFFFFF"/>
        </w:rPr>
        <w:t xml:space="preserve">Kindel TL, Wang AY, Wadhwa A, Schulman AR, </w:t>
      </w:r>
      <w:proofErr w:type="spellStart"/>
      <w:r w:rsidRPr="00D32D44">
        <w:rPr>
          <w:rFonts w:cs="Times New Roman"/>
          <w:color w:val="212121"/>
          <w:shd w:val="clear" w:color="auto" w:fill="FFFFFF"/>
        </w:rPr>
        <w:t>Sharaiha</w:t>
      </w:r>
      <w:proofErr w:type="spellEnd"/>
      <w:r w:rsidRPr="00D32D44">
        <w:rPr>
          <w:rFonts w:cs="Times New Roman"/>
          <w:color w:val="212121"/>
          <w:shd w:val="clear" w:color="auto" w:fill="FFFFFF"/>
        </w:rPr>
        <w:t xml:space="preserve"> RZ, Kroh M, Ghanem OM, Levy S, Joshi GP, LaMasters TL; American Gastroenterological Association; American Society for Metabolic and Bariatric Surgery; American Society of Anesthesiologists; International Society of Perioperative Care of Patients with Obesity; Society of American Gastrointestinal and Endoscopic Surgeons. </w:t>
      </w:r>
      <w:proofErr w:type="spellStart"/>
      <w:r w:rsidRPr="00D32D44">
        <w:rPr>
          <w:rFonts w:cs="Times New Roman"/>
          <w:color w:val="212121"/>
          <w:shd w:val="clear" w:color="auto" w:fill="FFFFFF"/>
        </w:rPr>
        <w:t>Multisociety</w:t>
      </w:r>
      <w:proofErr w:type="spellEnd"/>
      <w:r w:rsidRPr="00D32D44">
        <w:rPr>
          <w:rFonts w:cs="Times New Roman"/>
          <w:color w:val="212121"/>
          <w:shd w:val="clear" w:color="auto" w:fill="FFFFFF"/>
        </w:rPr>
        <w:t xml:space="preserve"> Clinical Practice Guidance for the Safe Use of Glucagon-like Peptide-1 Receptor Agonists in the Perioperative Period. Clin Gastroenterol Hepatol. 2024 Oct </w:t>
      </w:r>
      <w:proofErr w:type="gramStart"/>
      <w:r w:rsidRPr="00D32D44">
        <w:rPr>
          <w:rFonts w:cs="Times New Roman"/>
          <w:color w:val="212121"/>
          <w:shd w:val="clear" w:color="auto" w:fill="FFFFFF"/>
        </w:rPr>
        <w:t>29:S</w:t>
      </w:r>
      <w:proofErr w:type="gramEnd"/>
      <w:r w:rsidRPr="00D32D44">
        <w:rPr>
          <w:rFonts w:cs="Times New Roman"/>
          <w:color w:val="212121"/>
          <w:shd w:val="clear" w:color="auto" w:fill="FFFFFF"/>
        </w:rPr>
        <w:t xml:space="preserve">1542-3565(24)00910-8. </w:t>
      </w:r>
      <w:proofErr w:type="spellStart"/>
      <w:r w:rsidRPr="00D32D44">
        <w:rPr>
          <w:rFonts w:cs="Times New Roman"/>
          <w:color w:val="212121"/>
          <w:shd w:val="clear" w:color="auto" w:fill="FFFFFF"/>
        </w:rPr>
        <w:t>doi</w:t>
      </w:r>
      <w:proofErr w:type="spellEnd"/>
      <w:r w:rsidRPr="00D32D44">
        <w:rPr>
          <w:rFonts w:cs="Times New Roman"/>
          <w:color w:val="212121"/>
          <w:shd w:val="clear" w:color="auto" w:fill="FFFFFF"/>
        </w:rPr>
        <w:t xml:space="preserve">: 10.1016/j.cgh.2024.10.003. </w:t>
      </w:r>
      <w:proofErr w:type="spellStart"/>
      <w:r w:rsidRPr="00D32D44">
        <w:rPr>
          <w:rFonts w:cs="Times New Roman"/>
          <w:color w:val="212121"/>
          <w:shd w:val="clear" w:color="auto" w:fill="FFFFFF"/>
        </w:rPr>
        <w:t>Epub</w:t>
      </w:r>
      <w:proofErr w:type="spellEnd"/>
      <w:r w:rsidRPr="00D32D44">
        <w:rPr>
          <w:rFonts w:cs="Times New Roman"/>
          <w:color w:val="212121"/>
          <w:shd w:val="clear" w:color="auto" w:fill="FFFFFF"/>
        </w:rPr>
        <w:t xml:space="preserve"> ahead of print. PMID: 39480373.</w:t>
      </w:r>
      <w:r w:rsidRPr="00D32D44">
        <w:rPr>
          <w:rFonts w:cs="Times New Roman"/>
        </w:rPr>
        <w:t xml:space="preserve"> </w:t>
      </w:r>
    </w:p>
    <w:p w14:paraId="41D17BC2" w14:textId="77777777" w:rsidR="00D32D44" w:rsidRPr="00D32D44" w:rsidRDefault="00D32D44" w:rsidP="00D32D44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</w:p>
    <w:p w14:paraId="137449A9" w14:textId="23766F4B" w:rsidR="00D32D44" w:rsidRPr="00D32D44" w:rsidRDefault="00D32D44" w:rsidP="00D32D44">
      <w:pPr>
        <w:autoSpaceDE w:val="0"/>
        <w:autoSpaceDN w:val="0"/>
        <w:adjustRightInd w:val="0"/>
        <w:spacing w:after="0" w:line="240" w:lineRule="auto"/>
        <w:rPr>
          <w:rFonts w:cs="Times New Roman"/>
          <w:color w:val="212121"/>
          <w:shd w:val="clear" w:color="auto" w:fill="FFFFFF"/>
        </w:rPr>
      </w:pPr>
      <w:hyperlink r:id="rId7" w:anchor="glp1:~:text=Multisociety%20clinical%20practice%20guidance%20for%20the%20safe%20use%20of%20glucagon%2Dlike%20peptide%2D1%20receptor%20agonists%20in%20the%20perioperative%20period" w:history="1">
        <w:r w:rsidRPr="00D32D44">
          <w:rPr>
            <w:rStyle w:val="Hyperlink"/>
            <w:rFonts w:cs="Times New Roman"/>
            <w:shd w:val="clear" w:color="auto" w:fill="FFFFFF"/>
          </w:rPr>
          <w:t>https://www.asahq.org/standards-and-practice-parameters/resources-from-asa-committees#glp1:~:text=Multisociety%20clinical%20practice%20guidance%20for%20the%20safe%20use%20of%20glucagon%2Dlike%20peptide%2D1%20receptor%20agonists%20in%20the%20perioperative%20period</w:t>
        </w:r>
      </w:hyperlink>
    </w:p>
    <w:p w14:paraId="4C034B57" w14:textId="77777777" w:rsidR="00D32D44" w:rsidRPr="00D32D44" w:rsidRDefault="00D32D44" w:rsidP="00D32D44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</w:p>
    <w:p w14:paraId="2A6EFEE3" w14:textId="77777777" w:rsidR="00F8019D" w:rsidRPr="00D32D44" w:rsidRDefault="00F8019D" w:rsidP="00F8019D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  <w:sz w:val="28"/>
          <w:szCs w:val="28"/>
        </w:rPr>
      </w:pPr>
    </w:p>
    <w:p w14:paraId="356FC396" w14:textId="361DEDC4" w:rsidR="00F8019D" w:rsidRPr="00D32D44" w:rsidRDefault="00D32D44" w:rsidP="00F8019D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  <w:hyperlink r:id="rId8" w:history="1">
        <w:r w:rsidRPr="00D32D44">
          <w:rPr>
            <w:rStyle w:val="Hyperlink"/>
            <w:rFonts w:cs="Times New Roman"/>
            <w:kern w:val="0"/>
            <w:sz w:val="28"/>
            <w:szCs w:val="28"/>
          </w:rPr>
          <w:t>https://www.asahq.org/about-asa/newsroom/news-releases/2023/06/american-society-of-anesthesiologists-consensus-based-guidance-on-preoperative</w:t>
        </w:r>
      </w:hyperlink>
    </w:p>
    <w:p w14:paraId="61D233EE" w14:textId="77777777" w:rsidR="00D32D44" w:rsidRDefault="00D32D44" w:rsidP="00F8019D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</w:p>
    <w:p w14:paraId="0B77A9C0" w14:textId="3B7C10C1" w:rsidR="00BF3859" w:rsidRPr="00BF3859" w:rsidRDefault="00BF3859" w:rsidP="00BF385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color w:val="000000"/>
          <w:kern w:val="0"/>
          <w:sz w:val="28"/>
          <w:szCs w:val="28"/>
        </w:rPr>
      </w:pPr>
      <w:r w:rsidRPr="00BF3859">
        <w:rPr>
          <w:rFonts w:cs="Times New Roman"/>
          <w:b/>
          <w:bCs/>
          <w:color w:val="000000"/>
          <w:kern w:val="0"/>
          <w:sz w:val="28"/>
          <w:szCs w:val="28"/>
        </w:rPr>
        <w:t>Dosing Reference</w:t>
      </w:r>
    </w:p>
    <w:p w14:paraId="69EE36A3" w14:textId="77777777" w:rsidR="00BF3859" w:rsidRDefault="00BF3859" w:rsidP="00BF3859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kern w:val="0"/>
          <w:sz w:val="28"/>
          <w:szCs w:val="28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8"/>
        <w:gridCol w:w="3255"/>
        <w:gridCol w:w="1779"/>
        <w:gridCol w:w="2378"/>
      </w:tblGrid>
      <w:tr w:rsidR="00BF3859" w14:paraId="5323EA7C" w14:textId="77777777" w:rsidTr="00BF385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778B60" w14:textId="77777777" w:rsidR="00BF3859" w:rsidRDefault="00BF385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Drug (Brand)</w:t>
            </w:r>
          </w:p>
        </w:tc>
        <w:tc>
          <w:tcPr>
            <w:tcW w:w="0" w:type="auto"/>
            <w:vAlign w:val="center"/>
            <w:hideMark/>
          </w:tcPr>
          <w:p w14:paraId="6D2A96EC" w14:textId="77777777" w:rsidR="00BF3859" w:rsidRDefault="00BF385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Indication(s)</w:t>
            </w:r>
          </w:p>
        </w:tc>
        <w:tc>
          <w:tcPr>
            <w:tcW w:w="0" w:type="auto"/>
            <w:vAlign w:val="center"/>
            <w:hideMark/>
          </w:tcPr>
          <w:p w14:paraId="15ECCCA7" w14:textId="77777777" w:rsidR="00BF3859" w:rsidRDefault="00BF385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Typical Dose Range</w:t>
            </w:r>
          </w:p>
        </w:tc>
        <w:tc>
          <w:tcPr>
            <w:tcW w:w="0" w:type="auto"/>
            <w:vAlign w:val="center"/>
            <w:hideMark/>
          </w:tcPr>
          <w:p w14:paraId="3873F251" w14:textId="77777777" w:rsidR="00BF3859" w:rsidRDefault="00BF385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What Might Be Considered “High Dose”</w:t>
            </w:r>
          </w:p>
        </w:tc>
      </w:tr>
      <w:tr w:rsidR="00BF3859" w14:paraId="50D43BEF" w14:textId="77777777" w:rsidTr="00BF38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E787D1" w14:textId="77777777" w:rsidR="00BF3859" w:rsidRDefault="00BF3859">
            <w:r>
              <w:t xml:space="preserve">Liraglutide (Victoza® for T2DM; </w:t>
            </w:r>
            <w:proofErr w:type="spellStart"/>
            <w:r>
              <w:t>Saxenda</w:t>
            </w:r>
            <w:proofErr w:type="spellEnd"/>
            <w:r>
              <w:t>® for weight-loss)</w:t>
            </w:r>
          </w:p>
        </w:tc>
        <w:tc>
          <w:tcPr>
            <w:tcW w:w="0" w:type="auto"/>
            <w:vAlign w:val="center"/>
            <w:hideMark/>
          </w:tcPr>
          <w:p w14:paraId="04521E91" w14:textId="77777777" w:rsidR="00BF3859" w:rsidRDefault="00BF3859">
            <w:r>
              <w:t>• T2DM: start 0.6 mg daily, maintenance ~1.2-1.8 mg daily. (</w:t>
            </w:r>
            <w:hyperlink r:id="rId9" w:tooltip="Table 7, Dosing for GLP-1 RAs (Administered Subcutaneously ..." w:history="1">
              <w:r>
                <w:rPr>
                  <w:rStyle w:val="Hyperlink"/>
                </w:rPr>
                <w:t>NCBI</w:t>
              </w:r>
            </w:hyperlink>
            <w:r>
              <w:t>) • Obesity: up to 3.0 mg daily. (</w:t>
            </w:r>
            <w:hyperlink r:id="rId10" w:tooltip="Table 7, Dosing for GLP-1 RAs (Administered Subcutaneously ..." w:history="1">
              <w:r>
                <w:rPr>
                  <w:rStyle w:val="Hyperlink"/>
                </w:rPr>
                <w:t>NCBI</w:t>
              </w:r>
            </w:hyperlink>
            <w:r>
              <w:t>)</w:t>
            </w:r>
          </w:p>
        </w:tc>
        <w:tc>
          <w:tcPr>
            <w:tcW w:w="0" w:type="auto"/>
            <w:vAlign w:val="center"/>
            <w:hideMark/>
          </w:tcPr>
          <w:p w14:paraId="5D6B58A5" w14:textId="77777777" w:rsidR="00BF3859" w:rsidRDefault="00BF3859">
            <w:r>
              <w:t>• For diabetes: 1.2-1.8 mg/daily. • For weight loss: up to 3.0 mg daily.</w:t>
            </w:r>
          </w:p>
        </w:tc>
        <w:tc>
          <w:tcPr>
            <w:tcW w:w="0" w:type="auto"/>
            <w:vAlign w:val="center"/>
            <w:hideMark/>
          </w:tcPr>
          <w:p w14:paraId="7A34A614" w14:textId="77777777" w:rsidR="00BF3859" w:rsidRDefault="00BF3859">
            <w:r>
              <w:t>• For T2DM: 1.8 mg daily could be considered the higher end. • For weight-loss: 3.0 mg daily is the “high dose” for that indication.</w:t>
            </w:r>
          </w:p>
        </w:tc>
      </w:tr>
      <w:tr w:rsidR="00BF3859" w14:paraId="13837C5D" w14:textId="77777777" w:rsidTr="00BF38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0C249A" w14:textId="77777777" w:rsidR="00BF3859" w:rsidRDefault="00BF3859">
            <w:r>
              <w:t>Dulaglutide (Trulicity®)</w:t>
            </w:r>
          </w:p>
        </w:tc>
        <w:tc>
          <w:tcPr>
            <w:tcW w:w="0" w:type="auto"/>
            <w:vAlign w:val="center"/>
            <w:hideMark/>
          </w:tcPr>
          <w:p w14:paraId="61E50D8C" w14:textId="77777777" w:rsidR="00BF3859" w:rsidRDefault="00BF3859">
            <w:r>
              <w:t>T2DM: start ~0.75 mg once weekly; maintenance up to 4.5 mg once weekly. (</w:t>
            </w:r>
            <w:hyperlink r:id="rId11" w:tooltip="GLP-1 analog dosing chart - Straight Healthcare" w:history="1">
              <w:r>
                <w:rPr>
                  <w:rStyle w:val="Hyperlink"/>
                </w:rPr>
                <w:t>Straight Healthcare</w:t>
              </w:r>
            </w:hyperlink>
            <w:r>
              <w:t>)</w:t>
            </w:r>
          </w:p>
        </w:tc>
        <w:tc>
          <w:tcPr>
            <w:tcW w:w="0" w:type="auto"/>
            <w:vAlign w:val="center"/>
            <w:hideMark/>
          </w:tcPr>
          <w:p w14:paraId="2B459964" w14:textId="77777777" w:rsidR="00BF3859" w:rsidRDefault="00BF3859">
            <w:r>
              <w:t>0.75 mg → up to 4.5 mg weekly.</w:t>
            </w:r>
          </w:p>
        </w:tc>
        <w:tc>
          <w:tcPr>
            <w:tcW w:w="0" w:type="auto"/>
            <w:vAlign w:val="center"/>
            <w:hideMark/>
          </w:tcPr>
          <w:p w14:paraId="281A4987" w14:textId="77777777" w:rsidR="00BF3859" w:rsidRDefault="00BF3859">
            <w:r>
              <w:t>4.5 mg weekly would be the “high dose” in this class for T2DM.</w:t>
            </w:r>
          </w:p>
        </w:tc>
      </w:tr>
      <w:tr w:rsidR="00BF3859" w14:paraId="1F6C6A19" w14:textId="77777777" w:rsidTr="00BF38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46B7BB" w14:textId="77777777" w:rsidR="00BF3859" w:rsidRDefault="00BF3859">
            <w:proofErr w:type="spellStart"/>
            <w:r>
              <w:t>Semaglutide</w:t>
            </w:r>
            <w:proofErr w:type="spellEnd"/>
            <w:r>
              <w:t xml:space="preserve"> (Ozempic® for T2DM; </w:t>
            </w:r>
            <w:proofErr w:type="spellStart"/>
            <w:r>
              <w:t>Wegovy</w:t>
            </w:r>
            <w:proofErr w:type="spellEnd"/>
            <w:r>
              <w:t xml:space="preserve">® for weight-loss; </w:t>
            </w:r>
            <w:proofErr w:type="spellStart"/>
            <w:r>
              <w:t>Rybelsus</w:t>
            </w:r>
            <w:proofErr w:type="spellEnd"/>
            <w:r>
              <w:t>® oral)</w:t>
            </w:r>
          </w:p>
        </w:tc>
        <w:tc>
          <w:tcPr>
            <w:tcW w:w="0" w:type="auto"/>
            <w:vAlign w:val="center"/>
            <w:hideMark/>
          </w:tcPr>
          <w:p w14:paraId="52034066" w14:textId="77777777" w:rsidR="00BF3859" w:rsidRDefault="00BF3859">
            <w:r>
              <w:t>• T2DM (subcutaneous): start 0.25 mg weekly (titration), maintenance 0.5-1.0 mg weekly (for some labels up to 2.0 mg). (</w:t>
            </w:r>
            <w:hyperlink r:id="rId12" w:tooltip="Table 7, Dosing for GLP-1 RAs (Administered Subcutaneously ..." w:history="1">
              <w:r>
                <w:rPr>
                  <w:rStyle w:val="Hyperlink"/>
                </w:rPr>
                <w:t>NCBI</w:t>
              </w:r>
            </w:hyperlink>
            <w:r>
              <w:t>) • Obesity/Weight-loss: up to 2.4 mg weekly. (</w:t>
            </w:r>
            <w:hyperlink r:id="rId13" w:tooltip="Semaglutide Dosage Guide + Max Dose, Adjustments - Drugs.com" w:history="1">
              <w:r>
                <w:rPr>
                  <w:rStyle w:val="Hyperlink"/>
                </w:rPr>
                <w:t>Drugs.com</w:t>
              </w:r>
            </w:hyperlink>
            <w:r>
              <w:t>)</w:t>
            </w:r>
          </w:p>
        </w:tc>
        <w:tc>
          <w:tcPr>
            <w:tcW w:w="0" w:type="auto"/>
            <w:vAlign w:val="center"/>
            <w:hideMark/>
          </w:tcPr>
          <w:p w14:paraId="61CA5D1F" w14:textId="77777777" w:rsidR="00BF3859" w:rsidRDefault="00BF3859">
            <w:r>
              <w:t>• For diabetes: 0.5-1.0 mg weekly (some up to 2.0 mg). • For weight-loss: up to 2.4 mg weekly.</w:t>
            </w:r>
          </w:p>
        </w:tc>
        <w:tc>
          <w:tcPr>
            <w:tcW w:w="0" w:type="auto"/>
            <w:vAlign w:val="center"/>
            <w:hideMark/>
          </w:tcPr>
          <w:p w14:paraId="2B6366D3" w14:textId="77777777" w:rsidR="00BF3859" w:rsidRDefault="00BF3859">
            <w:r>
              <w:t>• For T2DM: doses at or near 1.0-2.0 mg/week may be considered “high dose”. • For weight-loss: 2.4 mg/week is the high dose.</w:t>
            </w:r>
          </w:p>
        </w:tc>
      </w:tr>
      <w:tr w:rsidR="00BF3859" w14:paraId="5FD7F21C" w14:textId="77777777" w:rsidTr="00BF38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2EF276" w14:textId="77777777" w:rsidR="00BF3859" w:rsidRDefault="00BF3859">
            <w:r>
              <w:t xml:space="preserve">Exenatide (Byetta®, </w:t>
            </w:r>
            <w:proofErr w:type="spellStart"/>
            <w:r>
              <w:t>Bydureon</w:t>
            </w:r>
            <w:proofErr w:type="spellEnd"/>
            <w:r>
              <w:t>®)</w:t>
            </w:r>
          </w:p>
        </w:tc>
        <w:tc>
          <w:tcPr>
            <w:tcW w:w="0" w:type="auto"/>
            <w:vAlign w:val="center"/>
            <w:hideMark/>
          </w:tcPr>
          <w:p w14:paraId="2D18673E" w14:textId="77777777" w:rsidR="00BF3859" w:rsidRDefault="00BF3859">
            <w:r>
              <w:t>T2DM: immediate-release 5 µg twice daily → up to 10 µg twice daily; extended-release 2 mg once weekly. (</w:t>
            </w:r>
            <w:hyperlink r:id="rId14" w:tooltip="GLP-1 analog dosing chart - Straight Healthcare" w:history="1">
              <w:r>
                <w:rPr>
                  <w:rStyle w:val="Hyperlink"/>
                </w:rPr>
                <w:t>Straight Healthcare</w:t>
              </w:r>
            </w:hyperlink>
            <w:r>
              <w:t>)</w:t>
            </w:r>
          </w:p>
        </w:tc>
        <w:tc>
          <w:tcPr>
            <w:tcW w:w="0" w:type="auto"/>
            <w:vAlign w:val="center"/>
            <w:hideMark/>
          </w:tcPr>
          <w:p w14:paraId="1C3D8F37" w14:textId="77777777" w:rsidR="00BF3859" w:rsidRDefault="00BF3859">
            <w:r>
              <w:t>Up to 10 µg twice daily (IR) or 2 mg weekly (XR).</w:t>
            </w:r>
          </w:p>
        </w:tc>
        <w:tc>
          <w:tcPr>
            <w:tcW w:w="0" w:type="auto"/>
            <w:vAlign w:val="center"/>
            <w:hideMark/>
          </w:tcPr>
          <w:p w14:paraId="00ABF4B8" w14:textId="77777777" w:rsidR="00BF3859" w:rsidRDefault="00BF3859">
            <w:r>
              <w:t>10 µg twice daily or 2 mg once weekly are “higher end” doses.</w:t>
            </w:r>
          </w:p>
        </w:tc>
      </w:tr>
      <w:tr w:rsidR="00BF3859" w14:paraId="20373837" w14:textId="77777777" w:rsidTr="00BF385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701002" w14:textId="77777777" w:rsidR="00BF3859" w:rsidRDefault="00BF3859">
            <w:r>
              <w:t>Albiglutide</w:t>
            </w:r>
          </w:p>
        </w:tc>
        <w:tc>
          <w:tcPr>
            <w:tcW w:w="0" w:type="auto"/>
            <w:vAlign w:val="center"/>
            <w:hideMark/>
          </w:tcPr>
          <w:p w14:paraId="3823215A" w14:textId="77777777" w:rsidR="00BF3859" w:rsidRDefault="00BF3859">
            <w:r>
              <w:t>T2DM: start 30 mg once weekly, may increase to 50 mg once weekly. (</w:t>
            </w:r>
            <w:hyperlink r:id="rId15" w:tooltip="Compare and Contrast the Glucagon-Like Peptide-1 Receptor ..." w:history="1">
              <w:r>
                <w:rPr>
                  <w:rStyle w:val="Hyperlink"/>
                </w:rPr>
                <w:t>NCBI</w:t>
              </w:r>
            </w:hyperlink>
            <w:r>
              <w:t>)</w:t>
            </w:r>
          </w:p>
        </w:tc>
        <w:tc>
          <w:tcPr>
            <w:tcW w:w="0" w:type="auto"/>
            <w:vAlign w:val="center"/>
            <w:hideMark/>
          </w:tcPr>
          <w:p w14:paraId="36C34081" w14:textId="77777777" w:rsidR="00BF3859" w:rsidRDefault="00BF3859">
            <w:r>
              <w:t>30-50 mg weekly.</w:t>
            </w:r>
          </w:p>
        </w:tc>
        <w:tc>
          <w:tcPr>
            <w:tcW w:w="0" w:type="auto"/>
            <w:vAlign w:val="center"/>
            <w:hideMark/>
          </w:tcPr>
          <w:p w14:paraId="7B8E6149" w14:textId="77777777" w:rsidR="00BF3859" w:rsidRDefault="00BF3859">
            <w:r>
              <w:t>50 mg weekly would represent the “high dose.”</w:t>
            </w:r>
          </w:p>
        </w:tc>
      </w:tr>
    </w:tbl>
    <w:p w14:paraId="549D1E1B" w14:textId="77777777" w:rsidR="00134E79" w:rsidRDefault="00134E79"/>
    <w:p w14:paraId="42439434" w14:textId="77777777" w:rsidR="00E25333" w:rsidRPr="00E25333" w:rsidRDefault="00E25333" w:rsidP="00E25333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E25333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lastRenderedPageBreak/>
        <w:t>Notes and caveats</w:t>
      </w:r>
    </w:p>
    <w:p w14:paraId="35995553" w14:textId="4419C068" w:rsidR="00E25333" w:rsidRPr="00E25333" w:rsidRDefault="00E25333" w:rsidP="00E253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E25333">
        <w:rPr>
          <w:rFonts w:eastAsia="Times New Roman" w:cs="Times New Roman"/>
          <w:kern w:val="0"/>
          <w14:ligatures w14:val="none"/>
        </w:rPr>
        <w:t>“High dose”</w:t>
      </w:r>
      <w:r>
        <w:rPr>
          <w:rFonts w:eastAsia="Times New Roman" w:cs="Times New Roman"/>
          <w:kern w:val="0"/>
          <w14:ligatures w14:val="none"/>
        </w:rPr>
        <w:t xml:space="preserve"> or “higher dose”</w:t>
      </w:r>
      <w:r w:rsidRPr="00E25333">
        <w:rPr>
          <w:rFonts w:eastAsia="Times New Roman" w:cs="Times New Roman"/>
          <w:kern w:val="0"/>
          <w14:ligatures w14:val="none"/>
        </w:rPr>
        <w:t xml:space="preserve"> is relative: it depends on the agent </w:t>
      </w:r>
      <w:r w:rsidRPr="00E25333">
        <w:rPr>
          <w:rFonts w:eastAsia="Times New Roman" w:cs="Times New Roman"/>
          <w:i/>
          <w:iCs/>
          <w:kern w:val="0"/>
          <w14:ligatures w14:val="none"/>
        </w:rPr>
        <w:t>and</w:t>
      </w:r>
      <w:r w:rsidRPr="00E25333">
        <w:rPr>
          <w:rFonts w:eastAsia="Times New Roman" w:cs="Times New Roman"/>
          <w:kern w:val="0"/>
          <w14:ligatures w14:val="none"/>
        </w:rPr>
        <w:t xml:space="preserve"> the indication (diabetes vs weight</w:t>
      </w:r>
      <w:r w:rsidRPr="00E25333">
        <w:rPr>
          <w:rFonts w:eastAsia="Times New Roman" w:cs="Times New Roman"/>
          <w:kern w:val="0"/>
          <w14:ligatures w14:val="none"/>
        </w:rPr>
        <w:softHyphen/>
        <w:t>-loss).</w:t>
      </w:r>
    </w:p>
    <w:p w14:paraId="566B211A" w14:textId="77777777" w:rsidR="00E25333" w:rsidRPr="00E25333" w:rsidRDefault="00E25333" w:rsidP="00E253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E25333">
        <w:rPr>
          <w:rFonts w:eastAsia="Times New Roman" w:cs="Times New Roman"/>
          <w:kern w:val="0"/>
          <w14:ligatures w14:val="none"/>
        </w:rPr>
        <w:t xml:space="preserve">Some “weight-loss” indications have much higher doses than the same agent for diabetes (e.g., </w:t>
      </w:r>
      <w:proofErr w:type="spellStart"/>
      <w:r w:rsidRPr="00E25333">
        <w:rPr>
          <w:rFonts w:eastAsia="Times New Roman" w:cs="Times New Roman"/>
          <w:kern w:val="0"/>
          <w14:ligatures w14:val="none"/>
        </w:rPr>
        <w:t>semaglutide</w:t>
      </w:r>
      <w:proofErr w:type="spellEnd"/>
      <w:r w:rsidRPr="00E25333">
        <w:rPr>
          <w:rFonts w:eastAsia="Times New Roman" w:cs="Times New Roman"/>
          <w:kern w:val="0"/>
          <w14:ligatures w14:val="none"/>
        </w:rPr>
        <w:t xml:space="preserve"> up to 2.4 mg weekly for weight-loss vs ~1.0 mg weekly for diabetes).</w:t>
      </w:r>
    </w:p>
    <w:p w14:paraId="66E1B504" w14:textId="77777777" w:rsidR="00E25333" w:rsidRPr="00E25333" w:rsidRDefault="00E25333" w:rsidP="00E253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E25333">
        <w:rPr>
          <w:rFonts w:eastAsia="Times New Roman" w:cs="Times New Roman"/>
          <w:kern w:val="0"/>
          <w14:ligatures w14:val="none"/>
        </w:rPr>
        <w:t>Titration matters: Many of these drugs start at a low introductory dose (to reduce GI side effects) and gradually escalate — so what is “maintenance” vs “high dose” depends on patient tolerance and target effect.</w:t>
      </w:r>
    </w:p>
    <w:p w14:paraId="7BEA3ABC" w14:textId="77777777" w:rsidR="00E25333" w:rsidRPr="00E25333" w:rsidRDefault="00E25333" w:rsidP="00E253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E25333">
        <w:rPr>
          <w:rFonts w:eastAsia="Times New Roman" w:cs="Times New Roman"/>
          <w:kern w:val="0"/>
          <w14:ligatures w14:val="none"/>
        </w:rPr>
        <w:t>Higher doses often carry increased risk of adverse effects (e.g., gastrointestinal).</w:t>
      </w:r>
    </w:p>
    <w:p w14:paraId="63DC27CB" w14:textId="77777777" w:rsidR="00E25333" w:rsidRPr="00E25333" w:rsidRDefault="00E25333" w:rsidP="00E2533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E25333">
        <w:rPr>
          <w:rFonts w:eastAsia="Times New Roman" w:cs="Times New Roman"/>
          <w:kern w:val="0"/>
          <w14:ligatures w14:val="none"/>
        </w:rPr>
        <w:t>Always check current prescriber labeling, as approvals and max doses evolve.</w:t>
      </w:r>
    </w:p>
    <w:p w14:paraId="71AB0CB0" w14:textId="77777777" w:rsidR="00E25333" w:rsidRDefault="00E25333"/>
    <w:sectPr w:rsidR="00E25333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C7907" w14:textId="77777777" w:rsidR="00EB5CBD" w:rsidRDefault="00EB5CBD" w:rsidP="00134E79">
      <w:pPr>
        <w:spacing w:after="0" w:line="240" w:lineRule="auto"/>
      </w:pPr>
      <w:r>
        <w:separator/>
      </w:r>
    </w:p>
  </w:endnote>
  <w:endnote w:type="continuationSeparator" w:id="0">
    <w:p w14:paraId="1513FD99" w14:textId="77777777" w:rsidR="00EB5CBD" w:rsidRDefault="00EB5CBD" w:rsidP="00134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iragino Kaku Gothic Std W8">
    <w:panose1 w:val="020B0800000000000000"/>
    <w:charset w:val="80"/>
    <w:family w:val="swiss"/>
    <w:pitch w:val="variable"/>
    <w:sig w:usb0="800002CF" w:usb1="68C7FCFC" w:usb2="00000012" w:usb3="00000000" w:csb0="0002000D" w:csb1="00000000"/>
  </w:font>
  <w:font w:name="ADLaM Display">
    <w:panose1 w:val="02010000000000000000"/>
    <w:charset w:val="4D"/>
    <w:family w:val="auto"/>
    <w:pitch w:val="variable"/>
    <w:sig w:usb0="8000206F" w:usb1="42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A00EA" w14:textId="77777777" w:rsidR="00D32D44" w:rsidRPr="00134E79" w:rsidRDefault="00D32D44" w:rsidP="00D32D44">
    <w:pPr>
      <w:spacing w:after="0" w:line="240" w:lineRule="auto"/>
      <w:jc w:val="right"/>
      <w:rPr>
        <w:rFonts w:ascii="Verdana" w:eastAsia="Times New Roman" w:hAnsi="Verdana" w:cs="Times New Roman"/>
        <w:color w:val="212121"/>
        <w:kern w:val="0"/>
        <w14:ligatures w14:val="none"/>
      </w:rPr>
    </w:pPr>
    <w:r w:rsidRPr="00134E79">
      <w:rPr>
        <w:rFonts w:ascii="Verdana" w:eastAsia="Times New Roman" w:hAnsi="Verdana" w:cs="Times New Roman"/>
        <w:color w:val="212121"/>
        <w:kern w:val="0"/>
        <w14:ligatures w14:val="none"/>
      </w:rPr>
      <w:t>Current as of 20 October 2025</w:t>
    </w:r>
  </w:p>
  <w:p w14:paraId="0CC9B410" w14:textId="77777777" w:rsidR="00D32D44" w:rsidRDefault="00D32D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04525" w14:textId="77777777" w:rsidR="00EB5CBD" w:rsidRDefault="00EB5CBD" w:rsidP="00134E79">
      <w:pPr>
        <w:spacing w:after="0" w:line="240" w:lineRule="auto"/>
      </w:pPr>
      <w:r>
        <w:separator/>
      </w:r>
    </w:p>
  </w:footnote>
  <w:footnote w:type="continuationSeparator" w:id="0">
    <w:p w14:paraId="4B214E73" w14:textId="77777777" w:rsidR="00EB5CBD" w:rsidRDefault="00EB5CBD" w:rsidP="00134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D117E" w14:textId="0581B846" w:rsidR="00134E79" w:rsidRDefault="00134E79" w:rsidP="00134E79">
    <w:pPr>
      <w:pStyle w:val="Header"/>
      <w:jc w:val="center"/>
    </w:pPr>
    <w:r>
      <w:rPr>
        <w:noProof/>
      </w:rPr>
      <w:drawing>
        <wp:inline distT="0" distB="0" distL="0" distR="0" wp14:anchorId="5C870E73" wp14:editId="715F5E07">
          <wp:extent cx="1803400" cy="1026936"/>
          <wp:effectExtent l="0" t="0" r="0" b="1905"/>
          <wp:docPr id="133428059" name="Picture 1" descr="A logo of a university of arizona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428059" name="Picture 1" descr="A logo of a university of arizona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0698" cy="10367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3B7096" w14:textId="5B06EC85" w:rsidR="00134E79" w:rsidRPr="00134E79" w:rsidRDefault="00134E79" w:rsidP="00134E79">
    <w:pPr>
      <w:pStyle w:val="Header"/>
      <w:jc w:val="center"/>
      <w:rPr>
        <w:rFonts w:ascii="Verdana" w:eastAsia="Hiragino Kaku Gothic Std W8" w:hAnsi="Verdana" w:cs="ADLaM Display"/>
        <w:b/>
        <w:bCs/>
        <w:color w:val="156082" w:themeColor="accent1"/>
      </w:rPr>
    </w:pPr>
    <w:r>
      <w:rPr>
        <w:rFonts w:ascii="Verdana" w:eastAsia="Hiragino Kaku Gothic Std W8" w:hAnsi="Verdana" w:cs="ADLaM Display"/>
        <w:b/>
        <w:bCs/>
        <w:color w:val="156082" w:themeColor="accent1"/>
      </w:rPr>
      <w:t xml:space="preserve">Department of </w:t>
    </w:r>
    <w:r w:rsidRPr="00134E79">
      <w:rPr>
        <w:rFonts w:ascii="Verdana" w:eastAsia="Hiragino Kaku Gothic Std W8" w:hAnsi="Verdana" w:cs="ADLaM Display"/>
        <w:b/>
        <w:bCs/>
        <w:color w:val="156082" w:themeColor="accent1"/>
      </w:rPr>
      <w:t>Anesthesiology</w:t>
    </w:r>
  </w:p>
  <w:p w14:paraId="42131923" w14:textId="77777777" w:rsidR="00134E79" w:rsidRDefault="00134E7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C0C45"/>
    <w:multiLevelType w:val="hybridMultilevel"/>
    <w:tmpl w:val="C2501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F6B7D"/>
    <w:multiLevelType w:val="hybridMultilevel"/>
    <w:tmpl w:val="2FA669EE"/>
    <w:lvl w:ilvl="0" w:tplc="6B6EF1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A25CAB"/>
    <w:multiLevelType w:val="multilevel"/>
    <w:tmpl w:val="A0B4A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456ED7"/>
    <w:multiLevelType w:val="hybridMultilevel"/>
    <w:tmpl w:val="17CC4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041625">
    <w:abstractNumId w:val="1"/>
  </w:num>
  <w:num w:numId="2" w16cid:durableId="1180970111">
    <w:abstractNumId w:val="3"/>
  </w:num>
  <w:num w:numId="3" w16cid:durableId="116026648">
    <w:abstractNumId w:val="0"/>
  </w:num>
  <w:num w:numId="4" w16cid:durableId="246353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79"/>
    <w:rsid w:val="00125900"/>
    <w:rsid w:val="00134E79"/>
    <w:rsid w:val="00191334"/>
    <w:rsid w:val="002270E6"/>
    <w:rsid w:val="00295E24"/>
    <w:rsid w:val="003C3B2E"/>
    <w:rsid w:val="00487A38"/>
    <w:rsid w:val="004A3470"/>
    <w:rsid w:val="004E71D5"/>
    <w:rsid w:val="00627044"/>
    <w:rsid w:val="00926EA9"/>
    <w:rsid w:val="00AF1065"/>
    <w:rsid w:val="00B455AB"/>
    <w:rsid w:val="00BF3859"/>
    <w:rsid w:val="00C45B2D"/>
    <w:rsid w:val="00D32D44"/>
    <w:rsid w:val="00DB55E5"/>
    <w:rsid w:val="00E25333"/>
    <w:rsid w:val="00E91EC1"/>
    <w:rsid w:val="00EB5CBD"/>
    <w:rsid w:val="00F13456"/>
    <w:rsid w:val="00F51B7F"/>
    <w:rsid w:val="00F8019D"/>
    <w:rsid w:val="00FC35AA"/>
    <w:rsid w:val="00FD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A18460"/>
  <w15:chartTrackingRefBased/>
  <w15:docId w15:val="{4FE3B7A8-72BF-3647-878F-710E7B279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19D"/>
  </w:style>
  <w:style w:type="paragraph" w:styleId="Heading1">
    <w:name w:val="heading 1"/>
    <w:basedOn w:val="Normal"/>
    <w:next w:val="Normal"/>
    <w:link w:val="Heading1Char"/>
    <w:uiPriority w:val="9"/>
    <w:qFormat/>
    <w:rsid w:val="00134E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E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34E7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E7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E7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E7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E7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E7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E7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E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E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34E7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E7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E7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E7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E7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E7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E7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E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E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E7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E7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E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E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E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E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E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E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E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34E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4E79"/>
  </w:style>
  <w:style w:type="paragraph" w:styleId="Footer">
    <w:name w:val="footer"/>
    <w:basedOn w:val="Normal"/>
    <w:link w:val="FooterChar"/>
    <w:uiPriority w:val="99"/>
    <w:unhideWhenUsed/>
    <w:rsid w:val="00134E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4E79"/>
  </w:style>
  <w:style w:type="character" w:customStyle="1" w:styleId="apple-converted-space">
    <w:name w:val="apple-converted-space"/>
    <w:basedOn w:val="DefaultParagraphFont"/>
    <w:rsid w:val="00134E79"/>
  </w:style>
  <w:style w:type="character" w:styleId="Hyperlink">
    <w:name w:val="Hyperlink"/>
    <w:basedOn w:val="DefaultParagraphFont"/>
    <w:uiPriority w:val="99"/>
    <w:unhideWhenUsed/>
    <w:rsid w:val="0012590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32D44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5333"/>
    <w:pPr>
      <w:spacing w:before="100" w:beforeAutospacing="1" w:after="100" w:afterAutospacing="1" w:line="240" w:lineRule="auto"/>
    </w:pPr>
    <w:rPr>
      <w:rFonts w:eastAsia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E2533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ahq.org/about-asa/newsroom/news-releases/2023/06/american-society-of-anesthesiologists-consensus-based-guidance-on-preoperative" TargetMode="External"/><Relationship Id="rId13" Type="http://schemas.openxmlformats.org/officeDocument/2006/relationships/hyperlink" Target="https://www.drugs.com/dosage/semaglutide.html?utm_source=chatgpt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sahq.org/standards-and-practice-parameters/resources-from-asa-committees" TargetMode="External"/><Relationship Id="rId12" Type="http://schemas.openxmlformats.org/officeDocument/2006/relationships/hyperlink" Target="https://www.ncbi.nlm.nih.gov/books/NBK603325/table/t07/?utm_source=chatgpt.com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traighthealthcare.com/glp-1-analog-dosing.html?utm_source=chatgpt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ncbi.nlm.nih.gov/books/NBK572151/?utm_source=chatgpt.com" TargetMode="External"/><Relationship Id="rId10" Type="http://schemas.openxmlformats.org/officeDocument/2006/relationships/hyperlink" Target="https://www.ncbi.nlm.nih.gov/books/NBK603325/table/t07/?utm_source=chatgpt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books/NBK603325/table/t07/?utm_source=chatgpt.com" TargetMode="External"/><Relationship Id="rId14" Type="http://schemas.openxmlformats.org/officeDocument/2006/relationships/hyperlink" Target="https://www.straighthealthcare.com/glp-1-analog-dosing.html?utm_source=chatgp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1116</Words>
  <Characters>6367</Characters>
  <Application>Microsoft Office Word</Application>
  <DocSecurity>0</DocSecurity>
  <Lines>53</Lines>
  <Paragraphs>14</Paragraphs>
  <ScaleCrop>false</ScaleCrop>
  <Company/>
  <LinksUpToDate>false</LinksUpToDate>
  <CharactersWithSpaces>7469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Galvagno, Samuel Michael - (sgalvagno)</dc:creator>
  <cp:keywords/>
  <dc:description/>
  <cp:lastModifiedBy>Galvagno, Samuel Michael - (sgalvagno)</cp:lastModifiedBy>
  <cp:revision>3</cp:revision>
  <dcterms:created xsi:type="dcterms:W3CDTF">2025-10-23T17:13:00Z</dcterms:created>
  <dcterms:modified xsi:type="dcterms:W3CDTF">2025-10-23T17:14:00Z</dcterms:modified>
</cp:coreProperties>
</file>