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FAC24" w14:textId="6BB13667" w:rsidR="00D54AD6" w:rsidRDefault="00000000" w:rsidP="00F56685">
      <w:pPr>
        <w:pStyle w:val="Heading1"/>
        <w:jc w:val="center"/>
        <w:rPr>
          <w:rFonts w:ascii="Times New Roman" w:hAnsi="Times New Roman" w:cs="Times New Roman"/>
          <w:color w:val="000000" w:themeColor="text1"/>
        </w:rPr>
      </w:pPr>
      <w:r w:rsidRPr="00F56685">
        <w:rPr>
          <w:rFonts w:ascii="Times New Roman" w:hAnsi="Times New Roman" w:cs="Times New Roman"/>
          <w:color w:val="000000" w:themeColor="text1"/>
        </w:rPr>
        <w:t xml:space="preserve">Perioperative Management Guideline for Patients </w:t>
      </w:r>
      <w:r w:rsidR="00F56685" w:rsidRPr="00F56685">
        <w:rPr>
          <w:rFonts w:ascii="Times New Roman" w:hAnsi="Times New Roman" w:cs="Times New Roman"/>
          <w:color w:val="0A0A0A"/>
          <w:shd w:val="clear" w:color="auto" w:fill="FFFFFF"/>
        </w:rPr>
        <w:t>taking Sodium-Glucose Cotransporter-2 inhibitors</w:t>
      </w:r>
      <w:r w:rsidR="00F56685" w:rsidRPr="00F56685">
        <w:rPr>
          <w:rFonts w:ascii="Times New Roman" w:hAnsi="Times New Roman" w:cs="Times New Roman"/>
          <w:color w:val="000000" w:themeColor="text1"/>
        </w:rPr>
        <w:t xml:space="preserve"> (</w:t>
      </w:r>
      <w:r w:rsidRPr="00F56685">
        <w:rPr>
          <w:rFonts w:ascii="Times New Roman" w:hAnsi="Times New Roman" w:cs="Times New Roman"/>
          <w:color w:val="000000" w:themeColor="text1"/>
        </w:rPr>
        <w:t>SGLT-2</w:t>
      </w:r>
      <w:r w:rsidR="00F56685" w:rsidRPr="00F56685">
        <w:rPr>
          <w:rFonts w:ascii="Times New Roman" w:hAnsi="Times New Roman" w:cs="Times New Roman"/>
          <w:color w:val="000000" w:themeColor="text1"/>
        </w:rPr>
        <w:t>)</w:t>
      </w:r>
      <w:r w:rsidRPr="00F56685">
        <w:rPr>
          <w:rFonts w:ascii="Times New Roman" w:hAnsi="Times New Roman" w:cs="Times New Roman"/>
          <w:color w:val="000000" w:themeColor="text1"/>
        </w:rPr>
        <w:t xml:space="preserve"> </w:t>
      </w:r>
      <w:r w:rsidR="00F56685" w:rsidRPr="00F56685">
        <w:rPr>
          <w:rFonts w:ascii="Times New Roman" w:hAnsi="Times New Roman" w:cs="Times New Roman"/>
          <w:color w:val="000000" w:themeColor="text1"/>
        </w:rPr>
        <w:t>Drugs</w:t>
      </w:r>
    </w:p>
    <w:p w14:paraId="1E83254E" w14:textId="49FD2069" w:rsidR="00F659CD" w:rsidRPr="00F659CD" w:rsidRDefault="00F659CD" w:rsidP="00F659CD">
      <w:pPr>
        <w:jc w:val="center"/>
      </w:pPr>
      <w:r>
        <w:t>11 December 2025</w:t>
      </w:r>
    </w:p>
    <w:p w14:paraId="302124F9" w14:textId="77777777" w:rsidR="00501E2B" w:rsidRPr="00501E2B" w:rsidRDefault="00501E2B" w:rsidP="00501E2B"/>
    <w:p w14:paraId="2967ADC5" w14:textId="4D3C5C49" w:rsidR="00555233" w:rsidRPr="00555233" w:rsidRDefault="00000000" w:rsidP="00555233">
      <w:pPr>
        <w:pStyle w:val="Heading2"/>
        <w:rPr>
          <w:rFonts w:ascii="Times New Roman" w:hAnsi="Times New Roman" w:cs="Times New Roman"/>
          <w:color w:val="000000" w:themeColor="text1"/>
          <w:sz w:val="28"/>
          <w:szCs w:val="28"/>
        </w:rPr>
      </w:pPr>
      <w:r w:rsidRPr="00555233">
        <w:rPr>
          <w:rFonts w:ascii="Times New Roman" w:hAnsi="Times New Roman" w:cs="Times New Roman"/>
          <w:color w:val="000000" w:themeColor="text1"/>
          <w:sz w:val="28"/>
          <w:szCs w:val="28"/>
        </w:rPr>
        <w:t>Purpos</w:t>
      </w:r>
      <w:r w:rsidR="00555233">
        <w:rPr>
          <w:rFonts w:ascii="Times New Roman" w:hAnsi="Times New Roman" w:cs="Times New Roman"/>
          <w:color w:val="000000" w:themeColor="text1"/>
          <w:sz w:val="28"/>
          <w:szCs w:val="28"/>
        </w:rPr>
        <w:t>e</w:t>
      </w:r>
      <w:r w:rsidR="00F659CD">
        <w:rPr>
          <w:rFonts w:ascii="Times New Roman" w:hAnsi="Times New Roman" w:cs="Times New Roman"/>
          <w:color w:val="000000" w:themeColor="text1"/>
          <w:sz w:val="28"/>
          <w:szCs w:val="28"/>
        </w:rPr>
        <w:t>:</w:t>
      </w:r>
    </w:p>
    <w:p w14:paraId="77677AF8" w14:textId="7DD7DA09" w:rsidR="00D54AD6" w:rsidRPr="00555233" w:rsidRDefault="00000000">
      <w:pPr>
        <w:rPr>
          <w:color w:val="000000" w:themeColor="text1"/>
        </w:rPr>
      </w:pPr>
      <w:r w:rsidRPr="00555233">
        <w:rPr>
          <w:color w:val="000000" w:themeColor="text1"/>
        </w:rPr>
        <w:t>To provide standardized recommendations for the safe perioperative management of patients taking SGLT</w:t>
      </w:r>
      <w:r w:rsidR="00F61243" w:rsidRPr="00555233">
        <w:rPr>
          <w:color w:val="000000" w:themeColor="text1"/>
        </w:rPr>
        <w:t>-</w:t>
      </w:r>
      <w:r w:rsidRPr="00555233">
        <w:rPr>
          <w:color w:val="000000" w:themeColor="text1"/>
        </w:rPr>
        <w:t xml:space="preserve">2 inhibitors, including identification of high-risk scenarios, medication hold times, </w:t>
      </w:r>
      <w:r w:rsidR="00F56685" w:rsidRPr="00555233">
        <w:rPr>
          <w:color w:val="000000" w:themeColor="text1"/>
        </w:rPr>
        <w:t xml:space="preserve">and </w:t>
      </w:r>
      <w:r w:rsidRPr="00555233">
        <w:rPr>
          <w:color w:val="000000" w:themeColor="text1"/>
        </w:rPr>
        <w:t>prevention/early detection of euglycemic diabetic ketoacidosis (eDKA).</w:t>
      </w:r>
    </w:p>
    <w:p w14:paraId="60C9A156" w14:textId="1FAD438C" w:rsidR="00555233" w:rsidRPr="00555233" w:rsidRDefault="00000000" w:rsidP="00555233">
      <w:pPr>
        <w:pStyle w:val="Heading2"/>
        <w:rPr>
          <w:rFonts w:ascii="Times New Roman" w:hAnsi="Times New Roman" w:cs="Times New Roman"/>
          <w:color w:val="000000" w:themeColor="text1"/>
          <w:sz w:val="28"/>
          <w:szCs w:val="28"/>
        </w:rPr>
      </w:pPr>
      <w:r w:rsidRPr="00555233">
        <w:rPr>
          <w:rFonts w:ascii="Times New Roman" w:hAnsi="Times New Roman" w:cs="Times New Roman"/>
          <w:color w:val="000000" w:themeColor="text1"/>
          <w:sz w:val="28"/>
          <w:szCs w:val="28"/>
        </w:rPr>
        <w:t>Scope</w:t>
      </w:r>
      <w:r w:rsidR="00F659CD">
        <w:rPr>
          <w:rFonts w:ascii="Times New Roman" w:hAnsi="Times New Roman" w:cs="Times New Roman"/>
          <w:color w:val="000000" w:themeColor="text1"/>
          <w:sz w:val="28"/>
          <w:szCs w:val="28"/>
        </w:rPr>
        <w:t>:</w:t>
      </w:r>
    </w:p>
    <w:p w14:paraId="161E2C8E" w14:textId="6388454F" w:rsidR="00D54AD6" w:rsidRDefault="00000000">
      <w:pPr>
        <w:rPr>
          <w:color w:val="000000" w:themeColor="text1"/>
        </w:rPr>
      </w:pPr>
      <w:r w:rsidRPr="00555233">
        <w:rPr>
          <w:color w:val="000000" w:themeColor="text1"/>
        </w:rPr>
        <w:t xml:space="preserve">Applies to all adult surgical patients </w:t>
      </w:r>
      <w:r w:rsidR="00F61243" w:rsidRPr="00555233">
        <w:rPr>
          <w:color w:val="000000" w:themeColor="text1"/>
        </w:rPr>
        <w:t xml:space="preserve">on SGLT-2 drugs </w:t>
      </w:r>
      <w:r w:rsidRPr="00555233">
        <w:rPr>
          <w:color w:val="000000" w:themeColor="text1"/>
        </w:rPr>
        <w:t xml:space="preserve">across </w:t>
      </w:r>
      <w:r w:rsidR="00F61243" w:rsidRPr="00555233">
        <w:rPr>
          <w:color w:val="000000" w:themeColor="text1"/>
        </w:rPr>
        <w:t xml:space="preserve">all </w:t>
      </w:r>
      <w:r w:rsidRPr="00555233">
        <w:rPr>
          <w:color w:val="000000" w:themeColor="text1"/>
        </w:rPr>
        <w:t>settings, including elective and emergency procedures.</w:t>
      </w:r>
    </w:p>
    <w:p w14:paraId="1E3352AA" w14:textId="77777777" w:rsidR="00D768C7" w:rsidRPr="00555233" w:rsidRDefault="00D768C7">
      <w:pPr>
        <w:rPr>
          <w:color w:val="000000" w:themeColor="text1"/>
        </w:rPr>
      </w:pPr>
    </w:p>
    <w:p w14:paraId="577F5C4C" w14:textId="55052255" w:rsidR="00555233" w:rsidRDefault="00F56685" w:rsidP="00555233">
      <w:pPr>
        <w:rPr>
          <w:b/>
          <w:bCs/>
          <w:color w:val="000000" w:themeColor="text1"/>
          <w:sz w:val="28"/>
          <w:szCs w:val="28"/>
        </w:rPr>
      </w:pPr>
      <w:r w:rsidRPr="00555233">
        <w:rPr>
          <w:b/>
          <w:bCs/>
          <w:color w:val="000000" w:themeColor="text1"/>
          <w:sz w:val="28"/>
          <w:szCs w:val="28"/>
        </w:rPr>
        <w:t>Background</w:t>
      </w:r>
      <w:r w:rsidR="00F659CD">
        <w:rPr>
          <w:b/>
          <w:bCs/>
          <w:color w:val="000000" w:themeColor="text1"/>
          <w:sz w:val="28"/>
          <w:szCs w:val="28"/>
        </w:rPr>
        <w:t>:</w:t>
      </w:r>
    </w:p>
    <w:p w14:paraId="3A3F3B26" w14:textId="5B5446B7" w:rsidR="00F56685" w:rsidRDefault="00F56685" w:rsidP="00555233">
      <w:r w:rsidRPr="00555233">
        <w:t>SGLT</w:t>
      </w:r>
      <w:r w:rsidR="00555233">
        <w:t>-</w:t>
      </w:r>
      <w:r w:rsidRPr="00555233">
        <w:t>2 is expressed in the proximal tubule of the kidney and mediates reabsorption of glucose from the tubular lumen. In individuals without diabetes mellitus, the filtered glucose load is less than the maximal glucose transport capacity (</w:t>
      </w:r>
      <w:r w:rsidRPr="00555233">
        <w:rPr>
          <w:rFonts w:ascii="Cambria Math" w:hAnsi="Cambria Math" w:cs="Cambria Math"/>
        </w:rPr>
        <w:t>∼</w:t>
      </w:r>
      <w:r w:rsidRPr="00555233">
        <w:t>180 g/day). SGLT</w:t>
      </w:r>
      <w:r w:rsidR="00F61243" w:rsidRPr="00555233">
        <w:t>-</w:t>
      </w:r>
      <w:r w:rsidRPr="00555233">
        <w:t xml:space="preserve">2 inhibitors block the reabsorption of filtered glucose from the tubular lumen and thereby promote the renal excretion of glucose. </w:t>
      </w:r>
    </w:p>
    <w:p w14:paraId="01DC030B" w14:textId="77777777" w:rsidR="00F659CD" w:rsidRPr="00555233" w:rsidRDefault="00F659CD" w:rsidP="00555233">
      <w:pPr>
        <w:rPr>
          <w:b/>
          <w:bCs/>
          <w:color w:val="000000" w:themeColor="text1"/>
        </w:rPr>
      </w:pPr>
    </w:p>
    <w:p w14:paraId="76D12264" w14:textId="5CD49283" w:rsidR="00F56685" w:rsidRPr="00555233" w:rsidRDefault="00F56685">
      <w:r w:rsidRPr="00555233">
        <w:rPr>
          <w:b/>
          <w:bCs/>
        </w:rPr>
        <w:t>Side effects</w:t>
      </w:r>
      <w:r w:rsidRPr="00555233">
        <w:t xml:space="preserve"> of SGLT</w:t>
      </w:r>
      <w:r w:rsidR="00F61243" w:rsidRPr="00555233">
        <w:t>-</w:t>
      </w:r>
      <w:r w:rsidRPr="00555233">
        <w:t>2 drugs include:</w:t>
      </w:r>
    </w:p>
    <w:p w14:paraId="2A05011B" w14:textId="77777777" w:rsidR="00F56685" w:rsidRPr="00555233" w:rsidRDefault="00F56685" w:rsidP="00F56685">
      <w:pPr>
        <w:pStyle w:val="ListParagraph"/>
        <w:numPr>
          <w:ilvl w:val="0"/>
          <w:numId w:val="11"/>
        </w:numPr>
      </w:pPr>
      <w:r w:rsidRPr="00555233">
        <w:t>Urinary frequency</w:t>
      </w:r>
    </w:p>
    <w:p w14:paraId="7553AE19" w14:textId="77777777" w:rsidR="00F56685" w:rsidRPr="00555233" w:rsidRDefault="00F56685" w:rsidP="00F56685">
      <w:pPr>
        <w:pStyle w:val="ListParagraph"/>
        <w:numPr>
          <w:ilvl w:val="0"/>
          <w:numId w:val="11"/>
        </w:numPr>
      </w:pPr>
      <w:r w:rsidRPr="00555233">
        <w:t>UTI and pyelonephritis</w:t>
      </w:r>
    </w:p>
    <w:p w14:paraId="4F35D092" w14:textId="39DAA83E" w:rsidR="00F56685" w:rsidRPr="00555233" w:rsidRDefault="00F56685" w:rsidP="00F56685">
      <w:pPr>
        <w:pStyle w:val="ListParagraph"/>
        <w:numPr>
          <w:ilvl w:val="0"/>
          <w:numId w:val="11"/>
        </w:numPr>
      </w:pPr>
      <w:r w:rsidRPr="00555233">
        <w:t>Fournier's gangrene (</w:t>
      </w:r>
      <w:r w:rsidR="0093032C" w:rsidRPr="00555233">
        <w:t>n</w:t>
      </w:r>
      <w:r w:rsidRPr="00555233">
        <w:t>ecrotizing fasciitis of the perineum)</w:t>
      </w:r>
    </w:p>
    <w:p w14:paraId="18C4FFB5" w14:textId="20D1D382" w:rsidR="00F56685" w:rsidRPr="00555233" w:rsidRDefault="00F56685" w:rsidP="00F56685">
      <w:pPr>
        <w:pStyle w:val="ListParagraph"/>
        <w:numPr>
          <w:ilvl w:val="0"/>
          <w:numId w:val="11"/>
        </w:numPr>
      </w:pPr>
      <w:r w:rsidRPr="00555233">
        <w:t>Dehydration/hypotension/</w:t>
      </w:r>
      <w:r w:rsidR="0093032C" w:rsidRPr="00555233">
        <w:t>acute kidney injury (AKI)</w:t>
      </w:r>
    </w:p>
    <w:p w14:paraId="47D78C02" w14:textId="7F2528B3" w:rsidR="00F56685" w:rsidRPr="00555233" w:rsidRDefault="00F56685" w:rsidP="00F56685">
      <w:pPr>
        <w:pStyle w:val="ListParagraph"/>
        <w:numPr>
          <w:ilvl w:val="0"/>
          <w:numId w:val="11"/>
        </w:numPr>
      </w:pPr>
      <w:r w:rsidRPr="00555233">
        <w:t xml:space="preserve">Diabetic ketoacidosis (euglycemic: </w:t>
      </w:r>
      <w:proofErr w:type="spellStart"/>
      <w:r w:rsidRPr="00555233">
        <w:t>eDKA</w:t>
      </w:r>
      <w:proofErr w:type="spellEnd"/>
      <w:r w:rsidRPr="00555233">
        <w:t>)</w:t>
      </w:r>
    </w:p>
    <w:p w14:paraId="619A3510" w14:textId="77777777" w:rsidR="00F659CD" w:rsidRDefault="00F659CD">
      <w:pPr>
        <w:rPr>
          <w:b/>
          <w:bCs/>
          <w:i/>
          <w:iCs/>
        </w:rPr>
      </w:pPr>
      <w:r>
        <w:rPr>
          <w:b/>
          <w:bCs/>
          <w:i/>
          <w:iCs/>
        </w:rPr>
        <w:br w:type="page"/>
      </w:r>
    </w:p>
    <w:p w14:paraId="7B184940" w14:textId="0ABBCC53" w:rsidR="00F56685" w:rsidRDefault="00F56685" w:rsidP="00F56685">
      <w:pPr>
        <w:rPr>
          <w:b/>
          <w:bCs/>
          <w:i/>
          <w:iCs/>
        </w:rPr>
      </w:pPr>
      <w:r w:rsidRPr="00555233">
        <w:rPr>
          <w:b/>
          <w:bCs/>
          <w:i/>
          <w:iCs/>
        </w:rPr>
        <w:lastRenderedPageBreak/>
        <w:t xml:space="preserve">The most immediate and serious complication is </w:t>
      </w:r>
      <w:proofErr w:type="spellStart"/>
      <w:r w:rsidRPr="00555233">
        <w:rPr>
          <w:b/>
          <w:bCs/>
          <w:i/>
          <w:iCs/>
        </w:rPr>
        <w:t>eDKA</w:t>
      </w:r>
      <w:proofErr w:type="spellEnd"/>
      <w:r w:rsidRPr="00555233">
        <w:rPr>
          <w:b/>
          <w:bCs/>
          <w:i/>
          <w:iCs/>
        </w:rPr>
        <w:t xml:space="preserve">.  The following criteria can be used to diagnose </w:t>
      </w:r>
      <w:proofErr w:type="spellStart"/>
      <w:r w:rsidRPr="00555233">
        <w:rPr>
          <w:b/>
          <w:bCs/>
          <w:i/>
          <w:iCs/>
        </w:rPr>
        <w:t>eDKA</w:t>
      </w:r>
      <w:proofErr w:type="spellEnd"/>
      <w:r w:rsidRPr="00555233">
        <w:rPr>
          <w:b/>
          <w:bCs/>
          <w:i/>
          <w:iCs/>
        </w:rPr>
        <w:t>:</w:t>
      </w:r>
    </w:p>
    <w:p w14:paraId="79D13D5F" w14:textId="77777777" w:rsidR="00D768C7" w:rsidRPr="00555233" w:rsidRDefault="00D768C7" w:rsidP="00F56685">
      <w:pPr>
        <w:rPr>
          <w:b/>
          <w:bCs/>
          <w:i/>
          <w:iCs/>
        </w:rPr>
      </w:pPr>
    </w:p>
    <w:p w14:paraId="22F3E604" w14:textId="298EDBFB" w:rsidR="00F56685" w:rsidRPr="00555233" w:rsidRDefault="00F56685" w:rsidP="00F56685">
      <w:r w:rsidRPr="00555233">
        <w:rPr>
          <w:b/>
          <w:bCs/>
        </w:rPr>
        <w:t xml:space="preserve">Glucose &lt; 200 mg/dL AND ketonemia (serum beta-hydroxybutyrate </w:t>
      </w:r>
      <w:r w:rsidRPr="00555233">
        <w:rPr>
          <w:b/>
          <w:bCs/>
          <w:u w:val="single"/>
        </w:rPr>
        <w:t>&gt;</w:t>
      </w:r>
      <w:r w:rsidRPr="00555233">
        <w:rPr>
          <w:b/>
          <w:bCs/>
        </w:rPr>
        <w:t xml:space="preserve"> 3.0 mmol/L)</w:t>
      </w:r>
      <w:r w:rsidR="0093032C" w:rsidRPr="00555233">
        <w:rPr>
          <w:b/>
          <w:bCs/>
        </w:rPr>
        <w:t xml:space="preserve"> AND at </w:t>
      </w:r>
      <w:r w:rsidR="0093032C" w:rsidRPr="00555233">
        <w:t>least one of the following criteria:</w:t>
      </w:r>
    </w:p>
    <w:p w14:paraId="7841E1B6" w14:textId="1EA3C76F" w:rsidR="0093032C" w:rsidRPr="00555233" w:rsidRDefault="0093032C" w:rsidP="0093032C">
      <w:pPr>
        <w:pStyle w:val="ListParagraph"/>
        <w:numPr>
          <w:ilvl w:val="0"/>
          <w:numId w:val="12"/>
        </w:numPr>
      </w:pPr>
      <w:r w:rsidRPr="00555233">
        <w:t>Arterial pH &lt;. 7.3</w:t>
      </w:r>
    </w:p>
    <w:p w14:paraId="416C64B7" w14:textId="6DBAE771" w:rsidR="0093032C" w:rsidRPr="00555233" w:rsidRDefault="0093032C" w:rsidP="0093032C">
      <w:pPr>
        <w:pStyle w:val="ListParagraph"/>
        <w:numPr>
          <w:ilvl w:val="0"/>
          <w:numId w:val="12"/>
        </w:numPr>
      </w:pPr>
      <w:r w:rsidRPr="00555233">
        <w:t xml:space="preserve">Serum bicarbonate &lt; 18 </w:t>
      </w:r>
      <w:proofErr w:type="spellStart"/>
      <w:r w:rsidRPr="00555233">
        <w:t>mEq</w:t>
      </w:r>
      <w:proofErr w:type="spellEnd"/>
      <w:r w:rsidRPr="00555233">
        <w:t>/L</w:t>
      </w:r>
    </w:p>
    <w:p w14:paraId="5F23162E" w14:textId="1329308C" w:rsidR="0093032C" w:rsidRPr="00555233" w:rsidRDefault="0093032C" w:rsidP="0093032C">
      <w:pPr>
        <w:pStyle w:val="ListParagraph"/>
        <w:numPr>
          <w:ilvl w:val="0"/>
          <w:numId w:val="12"/>
        </w:numPr>
      </w:pPr>
      <w:r w:rsidRPr="00555233">
        <w:t>Anion gap &gt; 10</w:t>
      </w:r>
    </w:p>
    <w:p w14:paraId="31D77131" w14:textId="4102F3DD" w:rsidR="00F56685" w:rsidRPr="00555233" w:rsidRDefault="00F56685" w:rsidP="00555233">
      <w:pPr>
        <w:rPr>
          <w:b/>
          <w:bCs/>
          <w:color w:val="000000" w:themeColor="text1"/>
          <w:sz w:val="28"/>
          <w:szCs w:val="28"/>
        </w:rPr>
      </w:pPr>
      <w:r w:rsidRPr="00555233">
        <w:rPr>
          <w:b/>
          <w:bCs/>
          <w:color w:val="000000" w:themeColor="text1"/>
          <w:sz w:val="28"/>
          <w:szCs w:val="28"/>
        </w:rPr>
        <w:t>Representative Drugs</w:t>
      </w:r>
      <w:r w:rsidR="00F659CD">
        <w:rPr>
          <w:b/>
          <w:bCs/>
          <w:color w:val="000000" w:themeColor="text1"/>
          <w:sz w:val="28"/>
          <w:szCs w:val="28"/>
        </w:rPr>
        <w:t>:</w:t>
      </w:r>
    </w:p>
    <w:p w14:paraId="3F9B29A6" w14:textId="50E6A545" w:rsidR="00F56685" w:rsidRPr="00555233" w:rsidRDefault="00F56685" w:rsidP="00555233">
      <w:pPr>
        <w:pStyle w:val="ListParagraph"/>
        <w:numPr>
          <w:ilvl w:val="0"/>
          <w:numId w:val="10"/>
        </w:numPr>
      </w:pPr>
      <w:proofErr w:type="spellStart"/>
      <w:r w:rsidRPr="00555233">
        <w:t>Canaglifozin</w:t>
      </w:r>
      <w:proofErr w:type="spellEnd"/>
      <w:r w:rsidRPr="00555233">
        <w:t xml:space="preserve"> (</w:t>
      </w:r>
      <w:proofErr w:type="spellStart"/>
      <w:r w:rsidRPr="00555233">
        <w:t>Invokana</w:t>
      </w:r>
      <w:r w:rsidRPr="00555233">
        <w:rPr>
          <w:vertAlign w:val="superscript"/>
        </w:rPr>
        <w:t>TM</w:t>
      </w:r>
      <w:proofErr w:type="spellEnd"/>
      <w:r w:rsidRPr="00555233">
        <w:t>)</w:t>
      </w:r>
    </w:p>
    <w:p w14:paraId="50EC9D42" w14:textId="2C0F4E59" w:rsidR="00F56685" w:rsidRPr="00555233" w:rsidRDefault="00F56685" w:rsidP="00F56685">
      <w:pPr>
        <w:pStyle w:val="ListParagraph"/>
        <w:numPr>
          <w:ilvl w:val="0"/>
          <w:numId w:val="10"/>
        </w:numPr>
      </w:pPr>
      <w:r w:rsidRPr="00555233">
        <w:t>Dapagliflozin (</w:t>
      </w:r>
      <w:proofErr w:type="spellStart"/>
      <w:r w:rsidRPr="00555233">
        <w:t>Farxiga</w:t>
      </w:r>
      <w:r w:rsidRPr="00555233">
        <w:rPr>
          <w:vertAlign w:val="superscript"/>
        </w:rPr>
        <w:t>TM</w:t>
      </w:r>
      <w:proofErr w:type="spellEnd"/>
      <w:r w:rsidRPr="00555233">
        <w:t>)</w:t>
      </w:r>
    </w:p>
    <w:p w14:paraId="21DD2B5D" w14:textId="623D723D" w:rsidR="00F56685" w:rsidRPr="00555233" w:rsidRDefault="00F56685" w:rsidP="00F56685">
      <w:pPr>
        <w:pStyle w:val="ListParagraph"/>
        <w:numPr>
          <w:ilvl w:val="0"/>
          <w:numId w:val="10"/>
        </w:numPr>
      </w:pPr>
      <w:r w:rsidRPr="00555233">
        <w:t>Empagliflozin (</w:t>
      </w:r>
      <w:proofErr w:type="spellStart"/>
      <w:r w:rsidRPr="00555233">
        <w:t>Jardiance</w:t>
      </w:r>
      <w:r w:rsidRPr="00555233">
        <w:rPr>
          <w:vertAlign w:val="superscript"/>
        </w:rPr>
        <w:t>TM</w:t>
      </w:r>
      <w:proofErr w:type="spellEnd"/>
      <w:r w:rsidRPr="00555233">
        <w:t>)</w:t>
      </w:r>
    </w:p>
    <w:p w14:paraId="4CDEE566" w14:textId="6A547A0E" w:rsidR="00F56685" w:rsidRPr="00555233" w:rsidRDefault="00F56685" w:rsidP="00F56685">
      <w:pPr>
        <w:pStyle w:val="ListParagraph"/>
        <w:numPr>
          <w:ilvl w:val="0"/>
          <w:numId w:val="10"/>
        </w:numPr>
      </w:pPr>
      <w:r w:rsidRPr="00555233">
        <w:t>Ertugliflozin (</w:t>
      </w:r>
      <w:proofErr w:type="spellStart"/>
      <w:r w:rsidRPr="00555233">
        <w:t>Steglatro</w:t>
      </w:r>
      <w:r w:rsidRPr="00555233">
        <w:rPr>
          <w:vertAlign w:val="superscript"/>
        </w:rPr>
        <w:t>TM</w:t>
      </w:r>
      <w:proofErr w:type="spellEnd"/>
      <w:r w:rsidRPr="00555233">
        <w:t>)</w:t>
      </w:r>
    </w:p>
    <w:p w14:paraId="2DEAC478" w14:textId="0EB82395" w:rsidR="00F56685" w:rsidRPr="00555233" w:rsidRDefault="00F56685" w:rsidP="00F56685">
      <w:pPr>
        <w:pStyle w:val="ListParagraph"/>
        <w:numPr>
          <w:ilvl w:val="0"/>
          <w:numId w:val="10"/>
        </w:numPr>
        <w:rPr>
          <w:color w:val="000000" w:themeColor="text1"/>
          <w:sz w:val="28"/>
          <w:szCs w:val="28"/>
        </w:rPr>
      </w:pPr>
      <w:proofErr w:type="spellStart"/>
      <w:r w:rsidRPr="00555233">
        <w:rPr>
          <w:sz w:val="28"/>
          <w:szCs w:val="28"/>
        </w:rPr>
        <w:t>Bexagliflozin</w:t>
      </w:r>
      <w:proofErr w:type="spellEnd"/>
      <w:r w:rsidRPr="00555233">
        <w:rPr>
          <w:sz w:val="28"/>
          <w:szCs w:val="28"/>
        </w:rPr>
        <w:t xml:space="preserve"> (</w:t>
      </w:r>
      <w:proofErr w:type="spellStart"/>
      <w:r w:rsidRPr="00555233">
        <w:rPr>
          <w:sz w:val="28"/>
          <w:szCs w:val="28"/>
        </w:rPr>
        <w:t>Brenzavvy</w:t>
      </w:r>
      <w:r w:rsidRPr="00555233">
        <w:rPr>
          <w:sz w:val="28"/>
          <w:szCs w:val="28"/>
          <w:vertAlign w:val="superscript"/>
        </w:rPr>
        <w:t>TM</w:t>
      </w:r>
      <w:proofErr w:type="spellEnd"/>
      <w:r w:rsidRPr="00555233">
        <w:rPr>
          <w:sz w:val="28"/>
          <w:szCs w:val="28"/>
        </w:rPr>
        <w:t>)</w:t>
      </w:r>
    </w:p>
    <w:p w14:paraId="64A4AFB3" w14:textId="4939D2FC" w:rsidR="00D54AD6" w:rsidRPr="00555233" w:rsidRDefault="003E7DC9">
      <w:pPr>
        <w:pStyle w:val="Heading2"/>
        <w:rPr>
          <w:rFonts w:ascii="Times New Roman" w:hAnsi="Times New Roman" w:cs="Times New Roman"/>
          <w:color w:val="000000" w:themeColor="text1"/>
          <w:sz w:val="28"/>
          <w:szCs w:val="28"/>
        </w:rPr>
      </w:pPr>
      <w:r>
        <w:rPr>
          <w:noProof/>
          <w:sz w:val="28"/>
          <w:szCs w:val="28"/>
        </w:rPr>
        <mc:AlternateContent>
          <mc:Choice Requires="wps">
            <w:drawing>
              <wp:anchor distT="0" distB="0" distL="114300" distR="114300" simplePos="0" relativeHeight="251660288" behindDoc="0" locked="0" layoutInCell="1" allowOverlap="1" wp14:anchorId="6C911527" wp14:editId="425EFFCE">
                <wp:simplePos x="0" y="0"/>
                <wp:positionH relativeFrom="column">
                  <wp:posOffset>-141586</wp:posOffset>
                </wp:positionH>
                <wp:positionV relativeFrom="paragraph">
                  <wp:posOffset>121832</wp:posOffset>
                </wp:positionV>
                <wp:extent cx="5812155" cy="572129"/>
                <wp:effectExtent l="50800" t="25400" r="67945" b="76200"/>
                <wp:wrapNone/>
                <wp:docPr id="2143058030" name="Rectangle 6"/>
                <wp:cNvGraphicFramePr/>
                <a:graphic xmlns:a="http://schemas.openxmlformats.org/drawingml/2006/main">
                  <a:graphicData uri="http://schemas.microsoft.com/office/word/2010/wordprocessingShape">
                    <wps:wsp>
                      <wps:cNvSpPr/>
                      <wps:spPr>
                        <a:xfrm>
                          <a:off x="0" y="0"/>
                          <a:ext cx="5812155" cy="572129"/>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69739A" id="Rectangle 6" o:spid="_x0000_s1026" style="position:absolute;margin-left:-11.15pt;margin-top:9.6pt;width:457.65pt;height:45.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" filled="f" strokecolor="black [3213]">
                <v:shadow on="t" color="black" opacity="22937f" origin=",.5" offset="0,.63889mm"/>
              </v:rect>
            </w:pict>
          </mc:Fallback>
        </mc:AlternateContent>
      </w:r>
      <w:r w:rsidR="00F56685" w:rsidRPr="00555233">
        <w:rPr>
          <w:rFonts w:ascii="Times New Roman" w:hAnsi="Times New Roman" w:cs="Times New Roman"/>
          <w:color w:val="000000" w:themeColor="text1"/>
          <w:sz w:val="28"/>
          <w:szCs w:val="28"/>
        </w:rPr>
        <w:t>Hold Recommendation</w:t>
      </w:r>
    </w:p>
    <w:p w14:paraId="7AEF781D" w14:textId="567DC89D" w:rsidR="00F56685" w:rsidRPr="00F659CD" w:rsidRDefault="00F56685" w:rsidP="00F659CD">
      <w:pPr>
        <w:rPr>
          <w:color w:val="000000" w:themeColor="text1"/>
        </w:rPr>
      </w:pPr>
      <w:r w:rsidRPr="00555233">
        <w:rPr>
          <w:color w:val="000000" w:themeColor="text1"/>
        </w:rPr>
        <w:t xml:space="preserve">To minimize the risk of </w:t>
      </w:r>
      <w:proofErr w:type="spellStart"/>
      <w:r w:rsidRPr="00555233">
        <w:rPr>
          <w:color w:val="000000" w:themeColor="text1"/>
        </w:rPr>
        <w:t>eDKA</w:t>
      </w:r>
      <w:proofErr w:type="spellEnd"/>
      <w:r w:rsidRPr="00555233">
        <w:rPr>
          <w:color w:val="000000" w:themeColor="text1"/>
        </w:rPr>
        <w:t xml:space="preserve"> perioperatively, </w:t>
      </w:r>
      <w:r w:rsidR="00F659CD">
        <w:rPr>
          <w:color w:val="000000" w:themeColor="text1"/>
        </w:rPr>
        <w:t xml:space="preserve">the FDA recommends </w:t>
      </w:r>
      <w:r w:rsidR="00F659CD" w:rsidRPr="00F659CD">
        <w:rPr>
          <w:b/>
          <w:bCs/>
          <w:color w:val="000000" w:themeColor="text1"/>
        </w:rPr>
        <w:t>holding</w:t>
      </w:r>
      <w:r w:rsidR="00F659CD">
        <w:rPr>
          <w:color w:val="000000" w:themeColor="text1"/>
        </w:rPr>
        <w:t xml:space="preserve"> </w:t>
      </w:r>
      <w:r w:rsidRPr="00555233">
        <w:rPr>
          <w:color w:val="000000" w:themeColor="text1"/>
        </w:rPr>
        <w:t>SGLT</w:t>
      </w:r>
      <w:r w:rsidR="00501E2B" w:rsidRPr="00555233">
        <w:rPr>
          <w:color w:val="000000" w:themeColor="text1"/>
        </w:rPr>
        <w:t>-</w:t>
      </w:r>
      <w:r w:rsidRPr="00555233">
        <w:rPr>
          <w:color w:val="000000" w:themeColor="text1"/>
        </w:rPr>
        <w:t xml:space="preserve">2 </w:t>
      </w:r>
      <w:r w:rsidR="00F659CD">
        <w:rPr>
          <w:color w:val="000000" w:themeColor="text1"/>
        </w:rPr>
        <w:t xml:space="preserve">drugs </w:t>
      </w:r>
      <w:r w:rsidRPr="00555233">
        <w:rPr>
          <w:b/>
          <w:bCs/>
          <w:color w:val="000000" w:themeColor="text1"/>
        </w:rPr>
        <w:t>3 days prior to the procedure</w:t>
      </w:r>
      <w:r w:rsidRPr="00555233">
        <w:rPr>
          <w:color w:val="000000" w:themeColor="text1"/>
        </w:rPr>
        <w:t xml:space="preserve"> (4 for ertugliflozin).</w:t>
      </w:r>
    </w:p>
    <w:p w14:paraId="4536FF28" w14:textId="77777777" w:rsidR="003E7DC9" w:rsidRDefault="003E7DC9" w:rsidP="00F659CD">
      <w:pPr>
        <w:jc w:val="center"/>
        <w:rPr>
          <w:b/>
          <w:bCs/>
          <w:color w:val="000000" w:themeColor="text1"/>
        </w:rPr>
      </w:pPr>
    </w:p>
    <w:p w14:paraId="1B28020F" w14:textId="29EEB232" w:rsidR="00501E2B" w:rsidRDefault="00501E2B" w:rsidP="00F659CD">
      <w:pPr>
        <w:jc w:val="center"/>
        <w:rPr>
          <w:color w:val="000000" w:themeColor="text1"/>
        </w:rPr>
      </w:pPr>
      <w:r w:rsidRPr="00501E2B">
        <w:rPr>
          <w:b/>
          <w:bCs/>
          <w:color w:val="000000" w:themeColor="text1"/>
        </w:rPr>
        <w:t>FDA guidance</w:t>
      </w:r>
      <w:r>
        <w:rPr>
          <w:color w:val="000000" w:themeColor="text1"/>
        </w:rPr>
        <w:t xml:space="preserve">:  </w:t>
      </w:r>
      <w:hyperlink r:id="rId8" w:history="1">
        <w:r w:rsidRPr="00EC74CE">
          <w:rPr>
            <w:rStyle w:val="Hyperlink"/>
          </w:rPr>
          <w:t>https://www.fda.gov/drugs/drug-safety-and-availability/fda-revises-labels-sglt2-inhibitors-diabetes-include-warnings-about-too-much-acid-blood-and-serious</w:t>
        </w:r>
      </w:hyperlink>
    </w:p>
    <w:p w14:paraId="2BB1AA67" w14:textId="77777777" w:rsidR="003E7DC9" w:rsidRDefault="003E7DC9" w:rsidP="00F659CD">
      <w:pPr>
        <w:rPr>
          <w:b/>
          <w:bCs/>
          <w:color w:val="000000" w:themeColor="text1"/>
          <w:sz w:val="28"/>
          <w:szCs w:val="28"/>
        </w:rPr>
      </w:pPr>
    </w:p>
    <w:p w14:paraId="484CD2D6" w14:textId="239F2741" w:rsidR="00F659CD" w:rsidRDefault="00F659CD" w:rsidP="00F659CD">
      <w:pPr>
        <w:rPr>
          <w:b/>
          <w:bCs/>
          <w:color w:val="000000" w:themeColor="text1"/>
          <w:sz w:val="28"/>
          <w:szCs w:val="28"/>
        </w:rPr>
      </w:pPr>
      <w:r w:rsidRPr="00555233">
        <w:rPr>
          <w:b/>
          <w:bCs/>
          <w:color w:val="000000" w:themeColor="text1"/>
          <w:sz w:val="28"/>
          <w:szCs w:val="28"/>
        </w:rPr>
        <w:t>Elective surgery / procedure guidance:</w:t>
      </w:r>
    </w:p>
    <w:p w14:paraId="12360B1C" w14:textId="34236B94" w:rsidR="00F659CD" w:rsidRPr="00F659CD" w:rsidRDefault="00F659CD" w:rsidP="00F659CD">
      <w:pPr>
        <w:rPr>
          <w:color w:val="000000" w:themeColor="text1"/>
        </w:rPr>
      </w:pPr>
      <w:r>
        <w:rPr>
          <w:color w:val="000000" w:themeColor="text1"/>
        </w:rPr>
        <w:t xml:space="preserve">The FDA guidance was released in 2022. Since that time, the risk for </w:t>
      </w:r>
      <w:proofErr w:type="spellStart"/>
      <w:r>
        <w:rPr>
          <w:color w:val="000000" w:themeColor="text1"/>
        </w:rPr>
        <w:t>eDKA</w:t>
      </w:r>
      <w:proofErr w:type="spellEnd"/>
      <w:r>
        <w:rPr>
          <w:color w:val="000000" w:themeColor="text1"/>
        </w:rPr>
        <w:t xml:space="preserve"> has become better understood. Elective cases can be evaluated on an individual basis. The anesthesia provider and surgeon should discuss the risks and benefits associated with proceeding. General guidance for </w:t>
      </w:r>
      <w:r w:rsidRPr="00F659CD">
        <w:rPr>
          <w:b/>
          <w:bCs/>
          <w:i/>
          <w:iCs/>
          <w:color w:val="000000" w:themeColor="text1"/>
        </w:rPr>
        <w:t>lower risk</w:t>
      </w:r>
      <w:r>
        <w:rPr>
          <w:color w:val="000000" w:themeColor="text1"/>
        </w:rPr>
        <w:t xml:space="preserve"> procedures is provided here (see high risk for </w:t>
      </w:r>
      <w:proofErr w:type="spellStart"/>
      <w:r>
        <w:rPr>
          <w:color w:val="000000" w:themeColor="text1"/>
        </w:rPr>
        <w:t>eDKA</w:t>
      </w:r>
      <w:proofErr w:type="spellEnd"/>
      <w:r>
        <w:rPr>
          <w:color w:val="000000" w:themeColor="text1"/>
        </w:rPr>
        <w:t xml:space="preserve"> criteria below):</w:t>
      </w:r>
    </w:p>
    <w:p w14:paraId="6C52CC23" w14:textId="0E37914A" w:rsidR="00F659CD" w:rsidRPr="00F56685" w:rsidRDefault="00F659CD" w:rsidP="00F659CD">
      <w:pPr>
        <w:jc w:val="center"/>
        <w:rPr>
          <w:color w:val="000000" w:themeColor="text1"/>
        </w:rPr>
      </w:pPr>
      <w:r>
        <w:rPr>
          <w:noProof/>
          <w:color w:val="000000" w:themeColor="text1"/>
        </w:rPr>
        <w:drawing>
          <wp:inline distT="0" distB="0" distL="0" distR="0" wp14:anchorId="04CD6F92" wp14:editId="75A04288">
            <wp:extent cx="4806237" cy="1746154"/>
            <wp:effectExtent l="0" t="0" r="0" b="0"/>
            <wp:docPr id="1381250633" name="Picture 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50633" name="Picture 2" descr="A close-up of a logo&#10;&#10;AI-generated content may be incorrect."/>
                    <pic:cNvPicPr/>
                  </pic:nvPicPr>
                  <pic:blipFill>
                    <a:blip r:embed="rId9"/>
                    <a:stretch>
                      <a:fillRect/>
                    </a:stretch>
                  </pic:blipFill>
                  <pic:spPr>
                    <a:xfrm>
                      <a:off x="0" y="0"/>
                      <a:ext cx="4920607" cy="1787706"/>
                    </a:xfrm>
                    <a:prstGeom prst="rect">
                      <a:avLst/>
                    </a:prstGeom>
                  </pic:spPr>
                </pic:pic>
              </a:graphicData>
            </a:graphic>
          </wp:inline>
        </w:drawing>
      </w:r>
    </w:p>
    <w:p w14:paraId="3947818E" w14:textId="5BA7BC81" w:rsidR="00D54AD6" w:rsidRPr="00F56685" w:rsidRDefault="00000000">
      <w:pPr>
        <w:pStyle w:val="Heading2"/>
        <w:rPr>
          <w:rFonts w:ascii="Times New Roman" w:hAnsi="Times New Roman" w:cs="Times New Roman"/>
          <w:color w:val="000000" w:themeColor="text1"/>
        </w:rPr>
      </w:pPr>
      <w:proofErr w:type="spellStart"/>
      <w:r w:rsidRPr="00F56685">
        <w:rPr>
          <w:rFonts w:ascii="Times New Roman" w:hAnsi="Times New Roman" w:cs="Times New Roman"/>
          <w:color w:val="000000" w:themeColor="text1"/>
        </w:rPr>
        <w:t>eDKA</w:t>
      </w:r>
      <w:proofErr w:type="spellEnd"/>
      <w:r w:rsidRPr="00F56685">
        <w:rPr>
          <w:rFonts w:ascii="Times New Roman" w:hAnsi="Times New Roman" w:cs="Times New Roman"/>
          <w:color w:val="000000" w:themeColor="text1"/>
        </w:rPr>
        <w:t xml:space="preserve"> High-Risk Criteria</w:t>
      </w:r>
      <w:r w:rsidR="00F659CD">
        <w:rPr>
          <w:rFonts w:ascii="Times New Roman" w:hAnsi="Times New Roman" w:cs="Times New Roman"/>
          <w:color w:val="000000" w:themeColor="text1"/>
        </w:rPr>
        <w:t>:</w:t>
      </w:r>
    </w:p>
    <w:p w14:paraId="0741E999" w14:textId="7FFD0C40" w:rsidR="00D54AD6" w:rsidRPr="00F659CD" w:rsidRDefault="00555233" w:rsidP="00F659CD">
      <w:pPr>
        <w:pStyle w:val="ListParagraph"/>
        <w:numPr>
          <w:ilvl w:val="0"/>
          <w:numId w:val="16"/>
        </w:numPr>
        <w:rPr>
          <w:color w:val="000000" w:themeColor="text1"/>
        </w:rPr>
      </w:pPr>
      <w:r w:rsidRPr="00F659CD">
        <w:rPr>
          <w:color w:val="000000" w:themeColor="text1"/>
        </w:rPr>
        <w:t>Type I DM</w:t>
      </w:r>
    </w:p>
    <w:p w14:paraId="11081227" w14:textId="0C6E809E" w:rsidR="00555233" w:rsidRPr="00F659CD" w:rsidRDefault="00555233" w:rsidP="00F659CD">
      <w:pPr>
        <w:pStyle w:val="ListParagraph"/>
        <w:numPr>
          <w:ilvl w:val="0"/>
          <w:numId w:val="16"/>
        </w:numPr>
        <w:rPr>
          <w:color w:val="000000" w:themeColor="text1"/>
        </w:rPr>
      </w:pPr>
      <w:r w:rsidRPr="00F659CD">
        <w:rPr>
          <w:color w:val="000000" w:themeColor="text1"/>
        </w:rPr>
        <w:t>Presumed NPO postop</w:t>
      </w:r>
    </w:p>
    <w:p w14:paraId="360CF5DB" w14:textId="14DE47A2" w:rsidR="00555233" w:rsidRPr="00F659CD" w:rsidRDefault="00555233" w:rsidP="00F659CD">
      <w:pPr>
        <w:pStyle w:val="ListParagraph"/>
        <w:numPr>
          <w:ilvl w:val="0"/>
          <w:numId w:val="16"/>
        </w:numPr>
        <w:rPr>
          <w:color w:val="000000" w:themeColor="text1"/>
        </w:rPr>
      </w:pPr>
      <w:r w:rsidRPr="00F659CD">
        <w:rPr>
          <w:color w:val="000000" w:themeColor="text1"/>
        </w:rPr>
        <w:t>Diagnosis of Type I DM due to pancreatitis or pancreatic surgery</w:t>
      </w:r>
    </w:p>
    <w:p w14:paraId="6CABA121" w14:textId="74ADED84" w:rsidR="00555233" w:rsidRPr="00F659CD" w:rsidRDefault="00555233" w:rsidP="00F659CD">
      <w:pPr>
        <w:pStyle w:val="ListParagraph"/>
        <w:numPr>
          <w:ilvl w:val="0"/>
          <w:numId w:val="16"/>
        </w:numPr>
        <w:rPr>
          <w:color w:val="000000" w:themeColor="text1"/>
        </w:rPr>
      </w:pPr>
      <w:r w:rsidRPr="00F659CD">
        <w:rPr>
          <w:color w:val="000000" w:themeColor="text1"/>
        </w:rPr>
        <w:lastRenderedPageBreak/>
        <w:t>History of DKA</w:t>
      </w:r>
    </w:p>
    <w:p w14:paraId="4415F383" w14:textId="01EDB722" w:rsidR="00F659CD" w:rsidRPr="00F659CD" w:rsidRDefault="00F659CD" w:rsidP="00F659CD">
      <w:pPr>
        <w:pStyle w:val="ListParagraph"/>
        <w:numPr>
          <w:ilvl w:val="0"/>
          <w:numId w:val="16"/>
        </w:numPr>
        <w:rPr>
          <w:color w:val="000000" w:themeColor="text1"/>
        </w:rPr>
      </w:pPr>
      <w:r w:rsidRPr="00F659CD">
        <w:rPr>
          <w:color w:val="000000" w:themeColor="text1"/>
        </w:rPr>
        <w:t xml:space="preserve">Preoperative HbA1C </w:t>
      </w:r>
      <w:r w:rsidRPr="00F659CD">
        <w:rPr>
          <w:color w:val="000000" w:themeColor="text1"/>
          <w:u w:val="single"/>
        </w:rPr>
        <w:t>&gt;</w:t>
      </w:r>
      <w:r w:rsidRPr="00F659CD">
        <w:rPr>
          <w:color w:val="000000" w:themeColor="text1"/>
        </w:rPr>
        <w:t xml:space="preserve"> 10%</w:t>
      </w:r>
    </w:p>
    <w:p w14:paraId="1E5A6929" w14:textId="2C7153F6" w:rsidR="00F659CD" w:rsidRPr="00F659CD" w:rsidRDefault="00F659CD" w:rsidP="00F659CD">
      <w:pPr>
        <w:pStyle w:val="ListParagraph"/>
        <w:numPr>
          <w:ilvl w:val="0"/>
          <w:numId w:val="16"/>
        </w:numPr>
        <w:rPr>
          <w:color w:val="000000" w:themeColor="text1"/>
        </w:rPr>
      </w:pPr>
      <w:r w:rsidRPr="00F659CD">
        <w:rPr>
          <w:color w:val="000000" w:themeColor="text1"/>
        </w:rPr>
        <w:t xml:space="preserve">ASA Status </w:t>
      </w:r>
      <w:r w:rsidRPr="00F659CD">
        <w:rPr>
          <w:color w:val="000000" w:themeColor="text1"/>
          <w:u w:val="single"/>
        </w:rPr>
        <w:t>&gt;</w:t>
      </w:r>
      <w:r w:rsidRPr="00F659CD">
        <w:rPr>
          <w:color w:val="000000" w:themeColor="text1"/>
        </w:rPr>
        <w:t xml:space="preserve"> 3</w:t>
      </w:r>
    </w:p>
    <w:p w14:paraId="5C0E78A0" w14:textId="235B4385" w:rsidR="00F659CD" w:rsidRDefault="00F659CD" w:rsidP="00F659CD">
      <w:pPr>
        <w:pStyle w:val="ListParagraph"/>
        <w:numPr>
          <w:ilvl w:val="0"/>
          <w:numId w:val="16"/>
        </w:numPr>
        <w:rPr>
          <w:color w:val="000000" w:themeColor="text1"/>
        </w:rPr>
      </w:pPr>
      <w:r w:rsidRPr="00F659CD">
        <w:rPr>
          <w:color w:val="000000" w:themeColor="text1"/>
        </w:rPr>
        <w:t>Excessive alcohol intake</w:t>
      </w:r>
    </w:p>
    <w:p w14:paraId="0BDEAA8B" w14:textId="77777777" w:rsidR="00D768C7" w:rsidRPr="00F659CD" w:rsidRDefault="00D768C7" w:rsidP="00D768C7">
      <w:pPr>
        <w:pStyle w:val="ListParagraph"/>
        <w:rPr>
          <w:color w:val="000000" w:themeColor="text1"/>
        </w:rPr>
      </w:pPr>
    </w:p>
    <w:p w14:paraId="1AF0A868" w14:textId="4CF77B27" w:rsidR="00555233" w:rsidRPr="00555233" w:rsidRDefault="00555233">
      <w:pPr>
        <w:rPr>
          <w:b/>
          <w:bCs/>
          <w:color w:val="000000" w:themeColor="text1"/>
          <w:sz w:val="28"/>
          <w:szCs w:val="28"/>
        </w:rPr>
      </w:pPr>
      <w:r w:rsidRPr="00555233">
        <w:rPr>
          <w:b/>
          <w:bCs/>
          <w:color w:val="000000" w:themeColor="text1"/>
          <w:sz w:val="28"/>
          <w:szCs w:val="28"/>
        </w:rPr>
        <w:t>Management</w:t>
      </w:r>
      <w:r w:rsidR="00F659CD">
        <w:rPr>
          <w:b/>
          <w:bCs/>
          <w:color w:val="000000" w:themeColor="text1"/>
          <w:sz w:val="28"/>
          <w:szCs w:val="28"/>
        </w:rPr>
        <w:t>:</w:t>
      </w:r>
    </w:p>
    <w:p w14:paraId="05660621" w14:textId="12BF14EF" w:rsidR="00501E2B" w:rsidRPr="00555233" w:rsidRDefault="00501E2B">
      <w:pPr>
        <w:rPr>
          <w:color w:val="000000" w:themeColor="text1"/>
        </w:rPr>
      </w:pPr>
      <w:r w:rsidRPr="00555233">
        <w:rPr>
          <w:color w:val="000000" w:themeColor="text1"/>
        </w:rPr>
        <w:t>For</w:t>
      </w:r>
      <w:r w:rsidR="00F659CD">
        <w:rPr>
          <w:color w:val="000000" w:themeColor="text1"/>
        </w:rPr>
        <w:t xml:space="preserve"> </w:t>
      </w:r>
      <w:r w:rsidR="00F659CD" w:rsidRPr="00F659CD">
        <w:rPr>
          <w:b/>
          <w:bCs/>
          <w:color w:val="000000" w:themeColor="text1"/>
        </w:rPr>
        <w:t>l</w:t>
      </w:r>
      <w:r w:rsidRPr="00F659CD">
        <w:rPr>
          <w:b/>
          <w:bCs/>
          <w:color w:val="000000" w:themeColor="text1"/>
        </w:rPr>
        <w:t>ow</w:t>
      </w:r>
      <w:r w:rsidR="00F659CD" w:rsidRPr="00F659CD">
        <w:rPr>
          <w:b/>
          <w:bCs/>
          <w:color w:val="000000" w:themeColor="text1"/>
        </w:rPr>
        <w:t>-</w:t>
      </w:r>
      <w:r w:rsidRPr="00F659CD">
        <w:rPr>
          <w:b/>
          <w:bCs/>
          <w:color w:val="000000" w:themeColor="text1"/>
        </w:rPr>
        <w:t>risk</w:t>
      </w:r>
      <w:r w:rsidRPr="00555233">
        <w:rPr>
          <w:color w:val="000000" w:themeColor="text1"/>
        </w:rPr>
        <w:t xml:space="preserve"> procedures in patients with diabetes mellitus and on SGLT-2 drugs: </w:t>
      </w:r>
    </w:p>
    <w:p w14:paraId="41D07763" w14:textId="2B33CF95" w:rsidR="00501E2B" w:rsidRPr="00555233" w:rsidRDefault="00501E2B" w:rsidP="00501E2B">
      <w:pPr>
        <w:pStyle w:val="ListParagraph"/>
        <w:numPr>
          <w:ilvl w:val="0"/>
          <w:numId w:val="13"/>
        </w:numPr>
        <w:rPr>
          <w:color w:val="000000" w:themeColor="text1"/>
        </w:rPr>
      </w:pPr>
      <w:r w:rsidRPr="00555233">
        <w:t>Check preop venous blood gas (VBG) and use the anion gap (AG) to guide management</w:t>
      </w:r>
      <w:r w:rsidR="00F659CD">
        <w:t>.</w:t>
      </w:r>
    </w:p>
    <w:p w14:paraId="6DF90FCA" w14:textId="040DD889" w:rsidR="00501E2B" w:rsidRPr="00555233" w:rsidRDefault="00501E2B" w:rsidP="00555233">
      <w:pPr>
        <w:pStyle w:val="ListParagraph"/>
        <w:numPr>
          <w:ilvl w:val="0"/>
          <w:numId w:val="13"/>
        </w:numPr>
        <w:rPr>
          <w:color w:val="000000" w:themeColor="text1"/>
        </w:rPr>
      </w:pPr>
      <w:r w:rsidRPr="00555233">
        <w:t xml:space="preserve">If </w:t>
      </w:r>
      <w:r w:rsidRPr="00555233">
        <w:rPr>
          <w:b/>
          <w:bCs/>
        </w:rPr>
        <w:t>AG ≤ 12, proceed</w:t>
      </w:r>
      <w:r w:rsidR="00F659CD">
        <w:rPr>
          <w:b/>
          <w:bCs/>
        </w:rPr>
        <w:t>.</w:t>
      </w:r>
      <w:r w:rsidRPr="00555233">
        <w:t xml:space="preserve"> </w:t>
      </w:r>
    </w:p>
    <w:p w14:paraId="1A1ED4D9" w14:textId="350EC75B" w:rsidR="00501E2B" w:rsidRPr="00555233" w:rsidRDefault="00501E2B" w:rsidP="00555233">
      <w:pPr>
        <w:pStyle w:val="ListParagraph"/>
        <w:numPr>
          <w:ilvl w:val="1"/>
          <w:numId w:val="13"/>
        </w:numPr>
        <w:rPr>
          <w:color w:val="000000" w:themeColor="text1"/>
        </w:rPr>
      </w:pPr>
      <w:r w:rsidRPr="00555233">
        <w:t>Re-check VBG Q1-2 hrs. during the procedure</w:t>
      </w:r>
      <w:r w:rsidR="00F659CD">
        <w:t>.</w:t>
      </w:r>
    </w:p>
    <w:p w14:paraId="47B86ED9" w14:textId="77777777" w:rsidR="00F659CD" w:rsidRPr="00F659CD" w:rsidRDefault="00501E2B" w:rsidP="00555233">
      <w:pPr>
        <w:pStyle w:val="ListParagraph"/>
        <w:numPr>
          <w:ilvl w:val="0"/>
          <w:numId w:val="13"/>
        </w:numPr>
        <w:rPr>
          <w:color w:val="000000" w:themeColor="text1"/>
        </w:rPr>
      </w:pPr>
      <w:r w:rsidRPr="00555233">
        <w:t xml:space="preserve">If </w:t>
      </w:r>
      <w:r w:rsidRPr="00555233">
        <w:rPr>
          <w:b/>
          <w:bCs/>
        </w:rPr>
        <w:t>AG becomes &gt;12</w:t>
      </w:r>
      <w:r w:rsidRPr="00555233">
        <w:t xml:space="preserve">, see guidance below. </w:t>
      </w:r>
    </w:p>
    <w:p w14:paraId="4531F2D1" w14:textId="7DAF435E" w:rsidR="00501E2B" w:rsidRPr="00555233" w:rsidRDefault="00501E2B" w:rsidP="00F659CD">
      <w:pPr>
        <w:pStyle w:val="ListParagraph"/>
        <w:numPr>
          <w:ilvl w:val="1"/>
          <w:numId w:val="13"/>
        </w:numPr>
        <w:rPr>
          <w:color w:val="000000" w:themeColor="text1"/>
        </w:rPr>
      </w:pPr>
      <w:r w:rsidRPr="00555233">
        <w:t>If AG remains ≤ 12 during the procedure, check VBG in PACU/ICU and follow the DKA algorithm</w:t>
      </w:r>
      <w:r w:rsidR="00F659CD">
        <w:t xml:space="preserve"> (see below).</w:t>
      </w:r>
    </w:p>
    <w:p w14:paraId="49A41B72" w14:textId="2733AA02" w:rsidR="00501E2B" w:rsidRPr="00555233" w:rsidRDefault="00501E2B" w:rsidP="00555233">
      <w:pPr>
        <w:pStyle w:val="ListParagraph"/>
        <w:numPr>
          <w:ilvl w:val="0"/>
          <w:numId w:val="13"/>
        </w:numPr>
        <w:rPr>
          <w:color w:val="000000" w:themeColor="text1"/>
        </w:rPr>
      </w:pPr>
      <w:r w:rsidRPr="00555233">
        <w:t xml:space="preserve">If </w:t>
      </w:r>
      <w:r w:rsidRPr="00555233">
        <w:rPr>
          <w:b/>
          <w:bCs/>
        </w:rPr>
        <w:t>AG &gt; 12, postpone</w:t>
      </w:r>
      <w:r w:rsidR="00F659CD">
        <w:t>.</w:t>
      </w:r>
    </w:p>
    <w:p w14:paraId="6D1CD704" w14:textId="1A168CF8" w:rsidR="00501E2B" w:rsidRPr="00555233" w:rsidRDefault="00501E2B" w:rsidP="00555233">
      <w:pPr>
        <w:pStyle w:val="ListParagraph"/>
        <w:numPr>
          <w:ilvl w:val="0"/>
          <w:numId w:val="13"/>
        </w:numPr>
        <w:rPr>
          <w:color w:val="000000" w:themeColor="text1"/>
        </w:rPr>
      </w:pPr>
      <w:r w:rsidRPr="00555233">
        <w:t xml:space="preserve">If </w:t>
      </w:r>
      <w:r w:rsidRPr="00555233">
        <w:rPr>
          <w:b/>
          <w:bCs/>
        </w:rPr>
        <w:t>AG &gt; 12 and serum bicarbonate ≤ 18</w:t>
      </w:r>
      <w:r w:rsidRPr="00555233">
        <w:t xml:space="preserve">, begin </w:t>
      </w:r>
      <w:proofErr w:type="spellStart"/>
      <w:r w:rsidRPr="00555233">
        <w:t>eDKA</w:t>
      </w:r>
      <w:proofErr w:type="spellEnd"/>
      <w:r w:rsidRPr="00555233">
        <w:t xml:space="preserve"> management</w:t>
      </w:r>
      <w:r w:rsidR="00555233">
        <w:t xml:space="preserve"> (see below)</w:t>
      </w:r>
      <w:r w:rsidR="00F659CD">
        <w:t>.</w:t>
      </w:r>
    </w:p>
    <w:p w14:paraId="46424D9D" w14:textId="77777777" w:rsidR="00501E2B" w:rsidRPr="00555233" w:rsidRDefault="00501E2B" w:rsidP="00555233">
      <w:pPr>
        <w:pStyle w:val="ListParagraph"/>
        <w:numPr>
          <w:ilvl w:val="0"/>
          <w:numId w:val="13"/>
        </w:numPr>
        <w:rPr>
          <w:color w:val="000000" w:themeColor="text1"/>
        </w:rPr>
      </w:pPr>
      <w:r w:rsidRPr="00555233">
        <w:t xml:space="preserve">If </w:t>
      </w:r>
      <w:r w:rsidRPr="00555233">
        <w:rPr>
          <w:b/>
          <w:bCs/>
        </w:rPr>
        <w:t>AG &gt; 12 and serum bicarbonate is &gt; 18</w:t>
      </w:r>
      <w:r w:rsidRPr="00555233">
        <w:t xml:space="preserve">, consider other causes of the anion gap. </w:t>
      </w:r>
    </w:p>
    <w:p w14:paraId="180733FC" w14:textId="2337F716" w:rsidR="00501E2B" w:rsidRPr="00555233" w:rsidRDefault="00501E2B" w:rsidP="00501E2B">
      <w:pPr>
        <w:pStyle w:val="ListParagraph"/>
        <w:numPr>
          <w:ilvl w:val="1"/>
          <w:numId w:val="13"/>
        </w:numPr>
        <w:rPr>
          <w:color w:val="000000" w:themeColor="text1"/>
        </w:rPr>
      </w:pPr>
      <w:r w:rsidRPr="00555233">
        <w:t>In the PACU, if otherwise clinically stable, resume diet. Provide instructions on signs and symptoms of diabetic ketoacidosis upon discharge</w:t>
      </w:r>
      <w:r w:rsidR="00F659CD">
        <w:t>.</w:t>
      </w:r>
    </w:p>
    <w:p w14:paraId="297BE40D" w14:textId="77D406A2" w:rsidR="00F659CD" w:rsidRDefault="00F659CD">
      <w:r>
        <w:br w:type="page"/>
      </w:r>
    </w:p>
    <w:p w14:paraId="1C0F6E03" w14:textId="4511800F" w:rsidR="00501E2B" w:rsidRDefault="00F659CD" w:rsidP="00501E2B">
      <w:pPr>
        <w:pStyle w:val="ListParagraph"/>
      </w:pPr>
      <w:r>
        <w:rPr>
          <w:noProof/>
        </w:rPr>
        <w:lastRenderedPageBreak/>
        <mc:AlternateContent>
          <mc:Choice Requires="wps">
            <w:drawing>
              <wp:anchor distT="0" distB="0" distL="114300" distR="114300" simplePos="0" relativeHeight="251662336" behindDoc="0" locked="0" layoutInCell="1" allowOverlap="1" wp14:anchorId="5B587E28" wp14:editId="4EC88841">
                <wp:simplePos x="0" y="0"/>
                <wp:positionH relativeFrom="column">
                  <wp:posOffset>353085</wp:posOffset>
                </wp:positionH>
                <wp:positionV relativeFrom="paragraph">
                  <wp:posOffset>134042</wp:posOffset>
                </wp:positionV>
                <wp:extent cx="5305331" cy="3385996"/>
                <wp:effectExtent l="50800" t="25400" r="67310" b="81280"/>
                <wp:wrapNone/>
                <wp:docPr id="508714416" name="Rectangle 3"/>
                <wp:cNvGraphicFramePr/>
                <a:graphic xmlns:a="http://schemas.openxmlformats.org/drawingml/2006/main">
                  <a:graphicData uri="http://schemas.microsoft.com/office/word/2010/wordprocessingShape">
                    <wps:wsp>
                      <wps:cNvSpPr/>
                      <wps:spPr>
                        <a:xfrm>
                          <a:off x="0" y="0"/>
                          <a:ext cx="5305331" cy="3385996"/>
                        </a:xfrm>
                        <a:prstGeom prst="rect">
                          <a:avLst/>
                        </a:prstGeom>
                        <a:solidFill>
                          <a:srgbClr val="00B0F0">
                            <a:alpha val="10922"/>
                          </a:srgbClr>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F89EF23" id="Rectangle 3" o:spid="_x0000_s1026" style="position:absolute;margin-left:27.8pt;margin-top:10.55pt;width:417.75pt;height:266.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" fillcolor="#00b0f0" strokecolor="black [3213]">
                <v:fill opacity="7196f"/>
                <v:shadow on="t" color="black" opacity="22937f" origin=",.5" offset="0,.63889mm"/>
              </v:rect>
            </w:pict>
          </mc:Fallback>
        </mc:AlternateContent>
      </w:r>
    </w:p>
    <w:p w14:paraId="0824FDC8" w14:textId="08587873" w:rsidR="00501E2B" w:rsidRPr="00501E2B" w:rsidRDefault="00501E2B" w:rsidP="00501E2B">
      <w:pPr>
        <w:pStyle w:val="ListParagraph"/>
        <w:rPr>
          <w:b/>
          <w:bCs/>
        </w:rPr>
      </w:pPr>
      <w:r w:rsidRPr="00501E2B">
        <w:rPr>
          <w:b/>
          <w:bCs/>
        </w:rPr>
        <w:t xml:space="preserve">If AG &gt; 12, </w:t>
      </w:r>
      <w:r>
        <w:rPr>
          <w:b/>
          <w:bCs/>
        </w:rPr>
        <w:t>check the serum bicarbonate</w:t>
      </w:r>
      <w:r w:rsidRPr="00501E2B">
        <w:rPr>
          <w:b/>
          <w:bCs/>
        </w:rPr>
        <w:t xml:space="preserve">. If </w:t>
      </w:r>
      <w:r>
        <w:rPr>
          <w:b/>
          <w:bCs/>
        </w:rPr>
        <w:t>the serum bicarbonate</w:t>
      </w:r>
      <w:r w:rsidRPr="00501E2B">
        <w:rPr>
          <w:b/>
          <w:bCs/>
        </w:rPr>
        <w:t xml:space="preserve"> </w:t>
      </w:r>
      <w:r w:rsidR="00555233">
        <w:rPr>
          <w:b/>
          <w:bCs/>
        </w:rPr>
        <w:t xml:space="preserve">is </w:t>
      </w:r>
      <w:r w:rsidRPr="00501E2B">
        <w:rPr>
          <w:b/>
          <w:bCs/>
        </w:rPr>
        <w:t>≤ 18:</w:t>
      </w:r>
    </w:p>
    <w:p w14:paraId="32279166" w14:textId="679B196B" w:rsidR="00501E2B" w:rsidRPr="00501E2B" w:rsidRDefault="00501E2B" w:rsidP="00501E2B">
      <w:pPr>
        <w:pStyle w:val="ListParagraph"/>
        <w:numPr>
          <w:ilvl w:val="0"/>
          <w:numId w:val="14"/>
        </w:numPr>
        <w:rPr>
          <w:color w:val="000000" w:themeColor="text1"/>
        </w:rPr>
      </w:pPr>
      <w:r>
        <w:t>Check stat serum ketones (beta-hydroxybutyrate)</w:t>
      </w:r>
    </w:p>
    <w:p w14:paraId="14F5551B" w14:textId="4F49A80D" w:rsidR="00501E2B" w:rsidRPr="00501E2B" w:rsidRDefault="00501E2B" w:rsidP="00501E2B">
      <w:pPr>
        <w:pStyle w:val="ListParagraph"/>
        <w:numPr>
          <w:ilvl w:val="0"/>
          <w:numId w:val="14"/>
        </w:numPr>
        <w:rPr>
          <w:color w:val="000000" w:themeColor="text1"/>
        </w:rPr>
      </w:pPr>
      <w:r>
        <w:t>Start standard insulin infusion protocol</w:t>
      </w:r>
    </w:p>
    <w:p w14:paraId="2D854D8B" w14:textId="77777777" w:rsidR="00501E2B" w:rsidRPr="00501E2B" w:rsidRDefault="00501E2B" w:rsidP="00501E2B">
      <w:pPr>
        <w:pStyle w:val="ListParagraph"/>
        <w:numPr>
          <w:ilvl w:val="0"/>
          <w:numId w:val="14"/>
        </w:numPr>
        <w:rPr>
          <w:color w:val="000000" w:themeColor="text1"/>
        </w:rPr>
      </w:pPr>
      <w:r>
        <w:t>Start 5% dextrose fluid at 50 ml/</w:t>
      </w:r>
      <w:proofErr w:type="spellStart"/>
      <w:r>
        <w:t>hr</w:t>
      </w:r>
      <w:proofErr w:type="spellEnd"/>
      <w:r>
        <w:t xml:space="preserve"> if BG 150-250 mg/dl*</w:t>
      </w:r>
    </w:p>
    <w:p w14:paraId="4D4DAE6C" w14:textId="77777777" w:rsidR="00501E2B" w:rsidRPr="00501E2B" w:rsidRDefault="00501E2B" w:rsidP="00501E2B">
      <w:pPr>
        <w:pStyle w:val="ListParagraph"/>
        <w:numPr>
          <w:ilvl w:val="1"/>
          <w:numId w:val="14"/>
        </w:numPr>
        <w:rPr>
          <w:color w:val="000000" w:themeColor="text1"/>
        </w:rPr>
      </w:pPr>
      <w:r>
        <w:t>10% dextrose fluid at 50 ml/</w:t>
      </w:r>
      <w:proofErr w:type="spellStart"/>
      <w:r>
        <w:t>hr</w:t>
      </w:r>
      <w:proofErr w:type="spellEnd"/>
      <w:r>
        <w:t xml:space="preserve"> if BG &lt; 150 mg/dl*  </w:t>
      </w:r>
    </w:p>
    <w:p w14:paraId="1CE54A49" w14:textId="77777777" w:rsidR="00501E2B" w:rsidRPr="00501E2B" w:rsidRDefault="00501E2B" w:rsidP="00501E2B">
      <w:pPr>
        <w:pStyle w:val="ListParagraph"/>
        <w:numPr>
          <w:ilvl w:val="0"/>
          <w:numId w:val="14"/>
        </w:numPr>
        <w:rPr>
          <w:color w:val="000000" w:themeColor="text1"/>
        </w:rPr>
      </w:pPr>
      <w:r>
        <w:t>Monitor glucose checks Q1hr and VBG Q1-2hr while intra-op</w:t>
      </w:r>
    </w:p>
    <w:p w14:paraId="42620703" w14:textId="77777777" w:rsidR="00501E2B" w:rsidRPr="00501E2B" w:rsidRDefault="00501E2B" w:rsidP="00501E2B">
      <w:pPr>
        <w:pStyle w:val="ListParagraph"/>
        <w:numPr>
          <w:ilvl w:val="0"/>
          <w:numId w:val="14"/>
        </w:numPr>
        <w:rPr>
          <w:color w:val="000000" w:themeColor="text1"/>
        </w:rPr>
      </w:pPr>
      <w:r>
        <w:t>Once in PACU/ICU, transition to standard DKA protocol insulin infusion with glucose and VBG/ basic metabolic panel (BMP) monitoring per protocol until the anion gap closes</w:t>
      </w:r>
    </w:p>
    <w:p w14:paraId="6FAC01E3" w14:textId="77777777" w:rsidR="00501E2B" w:rsidRPr="00501E2B" w:rsidRDefault="00501E2B" w:rsidP="00501E2B">
      <w:pPr>
        <w:pStyle w:val="ListParagraph"/>
        <w:numPr>
          <w:ilvl w:val="1"/>
          <w:numId w:val="14"/>
        </w:numPr>
        <w:rPr>
          <w:color w:val="000000" w:themeColor="text1"/>
        </w:rPr>
      </w:pPr>
      <w:r>
        <w:t>If serum ketones come back negative, consider alternative causes of anion gap acidosis, and discontinue insulin drip if clinically appropriate</w:t>
      </w:r>
    </w:p>
    <w:p w14:paraId="2368B82F" w14:textId="77777777" w:rsidR="00501E2B" w:rsidRPr="00501E2B" w:rsidRDefault="00501E2B" w:rsidP="00501E2B">
      <w:pPr>
        <w:pStyle w:val="ListParagraph"/>
        <w:numPr>
          <w:ilvl w:val="1"/>
          <w:numId w:val="14"/>
        </w:numPr>
        <w:rPr>
          <w:color w:val="000000" w:themeColor="text1"/>
        </w:rPr>
      </w:pPr>
      <w:r>
        <w:t>Consult endocrine post-op: when the patient is admitted to the unit or the floor</w:t>
      </w:r>
    </w:p>
    <w:p w14:paraId="38FA98F4" w14:textId="663DBEAC" w:rsidR="00501E2B" w:rsidRPr="00501E2B" w:rsidRDefault="00501E2B" w:rsidP="00501E2B">
      <w:pPr>
        <w:pStyle w:val="ListParagraph"/>
        <w:numPr>
          <w:ilvl w:val="1"/>
          <w:numId w:val="14"/>
        </w:numPr>
        <w:rPr>
          <w:color w:val="000000" w:themeColor="text1"/>
        </w:rPr>
      </w:pPr>
      <w:r>
        <w:t>If bicarbonate &gt; 18, Consider alternative causes of anion gap, and continue checking VBG Q1-2 hr. Consider sending ketones or starting an insulin infusion if the etiology remains unclear</w:t>
      </w:r>
    </w:p>
    <w:p w14:paraId="453DE4A3" w14:textId="77777777" w:rsidR="00555233" w:rsidRPr="00555233" w:rsidRDefault="00555233">
      <w:pPr>
        <w:pStyle w:val="Heading2"/>
        <w:rPr>
          <w:rFonts w:ascii="Times New Roman" w:hAnsi="Times New Roman" w:cs="Times New Roman"/>
          <w:color w:val="000000" w:themeColor="text1"/>
          <w:sz w:val="24"/>
          <w:szCs w:val="24"/>
        </w:rPr>
      </w:pPr>
    </w:p>
    <w:p w14:paraId="59476DBD" w14:textId="77777777" w:rsidR="00387AC6" w:rsidRDefault="00387AC6" w:rsidP="00555233">
      <w:pPr>
        <w:rPr>
          <w:b/>
          <w:bCs/>
          <w:sz w:val="28"/>
          <w:szCs w:val="28"/>
        </w:rPr>
      </w:pPr>
    </w:p>
    <w:p w14:paraId="7AFD98B0" w14:textId="764BE970" w:rsidR="00555233" w:rsidRPr="00555233" w:rsidRDefault="00555233" w:rsidP="00555233">
      <w:pPr>
        <w:rPr>
          <w:b/>
          <w:bCs/>
          <w:sz w:val="28"/>
          <w:szCs w:val="28"/>
        </w:rPr>
      </w:pPr>
      <w:r w:rsidRPr="00555233">
        <w:rPr>
          <w:b/>
          <w:bCs/>
          <w:sz w:val="28"/>
          <w:szCs w:val="28"/>
        </w:rPr>
        <w:t>Urgent/</w:t>
      </w:r>
      <w:r>
        <w:rPr>
          <w:b/>
          <w:bCs/>
          <w:sz w:val="28"/>
          <w:szCs w:val="28"/>
        </w:rPr>
        <w:t>E</w:t>
      </w:r>
      <w:r w:rsidRPr="00555233">
        <w:rPr>
          <w:b/>
          <w:bCs/>
          <w:sz w:val="28"/>
          <w:szCs w:val="28"/>
        </w:rPr>
        <w:t xml:space="preserve">mergent </w:t>
      </w:r>
      <w:r>
        <w:rPr>
          <w:b/>
          <w:bCs/>
          <w:sz w:val="28"/>
          <w:szCs w:val="28"/>
        </w:rPr>
        <w:t>C</w:t>
      </w:r>
      <w:r w:rsidRPr="00555233">
        <w:rPr>
          <w:b/>
          <w:bCs/>
          <w:sz w:val="28"/>
          <w:szCs w:val="28"/>
        </w:rPr>
        <w:t>ases</w:t>
      </w:r>
      <w:r w:rsidR="00DA1EFA">
        <w:rPr>
          <w:b/>
          <w:bCs/>
          <w:sz w:val="28"/>
          <w:szCs w:val="28"/>
        </w:rPr>
        <w:t>:</w:t>
      </w:r>
    </w:p>
    <w:p w14:paraId="5120345C" w14:textId="77777777" w:rsidR="00555233" w:rsidRDefault="00555233" w:rsidP="00555233">
      <w:pPr>
        <w:pStyle w:val="ListParagraph"/>
        <w:numPr>
          <w:ilvl w:val="0"/>
          <w:numId w:val="15"/>
        </w:numPr>
      </w:pPr>
      <w:r w:rsidRPr="00555233">
        <w:t>Check stat VBG</w:t>
      </w:r>
    </w:p>
    <w:p w14:paraId="1644F79E" w14:textId="77777777" w:rsidR="00555233" w:rsidRDefault="00555233" w:rsidP="00555233">
      <w:pPr>
        <w:pStyle w:val="ListParagraph"/>
        <w:numPr>
          <w:ilvl w:val="0"/>
          <w:numId w:val="15"/>
        </w:numPr>
      </w:pPr>
      <w:r w:rsidRPr="00555233">
        <w:t xml:space="preserve">If AG &gt; 12 </w:t>
      </w:r>
      <w:r>
        <w:t>f</w:t>
      </w:r>
      <w:r w:rsidRPr="00555233">
        <w:t xml:space="preserve">ollow the blue box </w:t>
      </w:r>
      <w:r>
        <w:t>above</w:t>
      </w:r>
      <w:r w:rsidRPr="00555233">
        <w:t xml:space="preserve"> </w:t>
      </w:r>
    </w:p>
    <w:p w14:paraId="22D47E55" w14:textId="68829726" w:rsidR="00555233" w:rsidRDefault="00555233" w:rsidP="00555233">
      <w:pPr>
        <w:pStyle w:val="ListParagraph"/>
        <w:numPr>
          <w:ilvl w:val="0"/>
          <w:numId w:val="15"/>
        </w:numPr>
      </w:pPr>
      <w:r w:rsidRPr="00555233">
        <w:t>If AG ≤ 12 proceed with case and monitor VBG Q1-2</w:t>
      </w:r>
      <w:r>
        <w:t xml:space="preserve"> </w:t>
      </w:r>
      <w:proofErr w:type="spellStart"/>
      <w:r w:rsidRPr="00555233">
        <w:t>hr</w:t>
      </w:r>
      <w:r>
        <w:t>s</w:t>
      </w:r>
      <w:proofErr w:type="spellEnd"/>
    </w:p>
    <w:p w14:paraId="7AD9F8EB" w14:textId="58B3103B" w:rsidR="00555233" w:rsidRDefault="00555233" w:rsidP="00555233">
      <w:pPr>
        <w:pStyle w:val="ListParagraph"/>
        <w:numPr>
          <w:ilvl w:val="0"/>
          <w:numId w:val="15"/>
        </w:numPr>
      </w:pPr>
      <w:r w:rsidRPr="00555233">
        <w:t>if AG becomes &gt; 12 then follow the blue box</w:t>
      </w:r>
    </w:p>
    <w:p w14:paraId="4629B6EB" w14:textId="6AC09895" w:rsidR="00555233" w:rsidRPr="00F659CD" w:rsidRDefault="00555233" w:rsidP="00555233">
      <w:pPr>
        <w:pStyle w:val="ListParagraph"/>
        <w:numPr>
          <w:ilvl w:val="0"/>
          <w:numId w:val="15"/>
        </w:numPr>
      </w:pPr>
      <w:r w:rsidRPr="00555233">
        <w:t xml:space="preserve">f AG remains &lt; 12 during the procedure, </w:t>
      </w:r>
      <w:r>
        <w:t>continue to monitor postoperatively</w:t>
      </w:r>
    </w:p>
    <w:p w14:paraId="07DC48B4" w14:textId="6E2AC5C8" w:rsidR="00F659CD" w:rsidRPr="00F659CD" w:rsidRDefault="00F659CD" w:rsidP="00F659CD">
      <w:pPr>
        <w:pStyle w:val="Heading2"/>
        <w:rPr>
          <w:rFonts w:ascii="Times New Roman" w:hAnsi="Times New Roman" w:cs="Times New Roman"/>
          <w:color w:val="000000" w:themeColor="text1"/>
        </w:rPr>
      </w:pPr>
      <w:r>
        <w:rPr>
          <w:rFonts w:ascii="Times New Roman" w:hAnsi="Times New Roman" w:cs="Times New Roman"/>
          <w:color w:val="000000" w:themeColor="text1"/>
        </w:rPr>
        <w:lastRenderedPageBreak/>
        <w:t>DKA Management Summary</w:t>
      </w:r>
      <w:r w:rsidR="00DA1EFA">
        <w:rPr>
          <w:rFonts w:ascii="Times New Roman" w:hAnsi="Times New Roman" w:cs="Times New Roman"/>
          <w:color w:val="000000" w:themeColor="text1"/>
        </w:rPr>
        <w:t>:</w:t>
      </w:r>
    </w:p>
    <w:p w14:paraId="51EE59C3" w14:textId="5F407414" w:rsidR="00F56685" w:rsidRDefault="00F659CD">
      <w:pPr>
        <w:rPr>
          <w:color w:val="000000" w:themeColor="text1"/>
        </w:rPr>
      </w:pPr>
      <w:r>
        <w:rPr>
          <w:noProof/>
          <w:color w:val="000000" w:themeColor="text1"/>
        </w:rPr>
        <w:drawing>
          <wp:inline distT="0" distB="0" distL="0" distR="0" wp14:anchorId="46B202E0" wp14:editId="301F3ACC">
            <wp:extent cx="5486400" cy="3092450"/>
            <wp:effectExtent l="0" t="0" r="0" b="6350"/>
            <wp:docPr id="1591785274" name="Picture 5" descr="A diagram of a diabetes pati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85274" name="Picture 5" descr="A diagram of a diabetes patient&#10;&#10;AI-generated content may be incorrect."/>
                    <pic:cNvPicPr/>
                  </pic:nvPicPr>
                  <pic:blipFill>
                    <a:blip r:embed="rId10"/>
                    <a:stretch>
                      <a:fillRect/>
                    </a:stretch>
                  </pic:blipFill>
                  <pic:spPr>
                    <a:xfrm>
                      <a:off x="0" y="0"/>
                      <a:ext cx="5486400" cy="3092450"/>
                    </a:xfrm>
                    <a:prstGeom prst="rect">
                      <a:avLst/>
                    </a:prstGeom>
                  </pic:spPr>
                </pic:pic>
              </a:graphicData>
            </a:graphic>
          </wp:inline>
        </w:drawing>
      </w:r>
    </w:p>
    <w:p w14:paraId="41E41DA8" w14:textId="77777777" w:rsidR="00B87B88" w:rsidRDefault="00B87B88">
      <w:pPr>
        <w:rPr>
          <w:color w:val="000000" w:themeColor="text1"/>
        </w:rPr>
      </w:pPr>
    </w:p>
    <w:p w14:paraId="49D15809" w14:textId="20C70417" w:rsidR="00B87B88" w:rsidRDefault="00B87B88" w:rsidP="00B87B88">
      <w:pPr>
        <w:rPr>
          <w:b/>
          <w:bCs/>
          <w:sz w:val="28"/>
          <w:szCs w:val="28"/>
        </w:rPr>
      </w:pPr>
      <w:r>
        <w:rPr>
          <w:b/>
          <w:bCs/>
          <w:sz w:val="28"/>
          <w:szCs w:val="28"/>
        </w:rPr>
        <w:t>References:</w:t>
      </w:r>
    </w:p>
    <w:p w14:paraId="27CD82D8" w14:textId="610AC851" w:rsidR="00B87B88" w:rsidRPr="00B87B88" w:rsidRDefault="00B87B88" w:rsidP="00B87B88">
      <w:pPr>
        <w:numPr>
          <w:ilvl w:val="0"/>
          <w:numId w:val="17"/>
        </w:numPr>
        <w:shd w:val="clear" w:color="auto" w:fill="FFFFFF"/>
        <w:rPr>
          <w:color w:val="000000" w:themeColor="text1"/>
        </w:rPr>
      </w:pPr>
      <w:r w:rsidRPr="00B87B88">
        <w:rPr>
          <w:color w:val="000000" w:themeColor="text1"/>
        </w:rPr>
        <w:t xml:space="preserve">American Diabetes Association. 15. Diabetes Care in the Hospital: Standards of Medical Care in Diabetes-2021. Diabetes Care 2021; </w:t>
      </w:r>
      <w:proofErr w:type="gramStart"/>
      <w:r w:rsidRPr="00B87B88">
        <w:rPr>
          <w:color w:val="000000" w:themeColor="text1"/>
        </w:rPr>
        <w:t>44:S</w:t>
      </w:r>
      <w:proofErr w:type="gramEnd"/>
      <w:r w:rsidRPr="00B87B88">
        <w:rPr>
          <w:color w:val="000000" w:themeColor="text1"/>
        </w:rPr>
        <w:t>211.</w:t>
      </w:r>
    </w:p>
    <w:p w14:paraId="12215BC2" w14:textId="2E56B9CE" w:rsidR="00B87B88" w:rsidRPr="00B87B88" w:rsidRDefault="00B87B88" w:rsidP="00B87B88">
      <w:pPr>
        <w:numPr>
          <w:ilvl w:val="0"/>
          <w:numId w:val="17"/>
        </w:numPr>
        <w:shd w:val="clear" w:color="auto" w:fill="FFFFFF"/>
        <w:rPr>
          <w:color w:val="000000" w:themeColor="text1"/>
        </w:rPr>
      </w:pPr>
      <w:r w:rsidRPr="00B87B88">
        <w:rPr>
          <w:color w:val="000000" w:themeColor="text1"/>
        </w:rPr>
        <w:t xml:space="preserve">Handelsman Y, Henry RR, Bloomgarden ZT, et al. American Association of Clinical Endocrinologists and American College of Endocrinology position statement on the association of SGLT-2 inhibitors and diabetic ketoacidosis. </w:t>
      </w:r>
      <w:proofErr w:type="spellStart"/>
      <w:r w:rsidRPr="00B87B88">
        <w:rPr>
          <w:color w:val="000000" w:themeColor="text1"/>
        </w:rPr>
        <w:t>Endocr</w:t>
      </w:r>
      <w:proofErr w:type="spellEnd"/>
      <w:r w:rsidRPr="00B87B88">
        <w:rPr>
          <w:color w:val="000000" w:themeColor="text1"/>
        </w:rPr>
        <w:t xml:space="preserve"> </w:t>
      </w:r>
      <w:proofErr w:type="spellStart"/>
      <w:r w:rsidRPr="00B87B88">
        <w:rPr>
          <w:color w:val="000000" w:themeColor="text1"/>
        </w:rPr>
        <w:t>Pract</w:t>
      </w:r>
      <w:proofErr w:type="spellEnd"/>
      <w:r w:rsidRPr="00B87B88">
        <w:rPr>
          <w:color w:val="000000" w:themeColor="text1"/>
        </w:rPr>
        <w:t xml:space="preserve"> 2016; 22:753.</w:t>
      </w:r>
    </w:p>
    <w:p w14:paraId="24C9D94D" w14:textId="135A9FBD" w:rsidR="00B87B88" w:rsidRPr="00B87B88" w:rsidRDefault="00B87B88" w:rsidP="00B87B88">
      <w:pPr>
        <w:numPr>
          <w:ilvl w:val="0"/>
          <w:numId w:val="17"/>
        </w:numPr>
        <w:shd w:val="clear" w:color="auto" w:fill="FFFFFF"/>
        <w:rPr>
          <w:color w:val="000000" w:themeColor="text1"/>
        </w:rPr>
      </w:pPr>
      <w:r w:rsidRPr="00B87B88">
        <w:rPr>
          <w:color w:val="000000" w:themeColor="text1"/>
        </w:rPr>
        <w:t xml:space="preserve">Milder DA, Milder TY, Kam PCA. Sodium-glucose co-transporter type-2 inhibitors: pharmacology and peri-operative considerations. </w:t>
      </w:r>
      <w:proofErr w:type="spellStart"/>
      <w:r w:rsidRPr="00B87B88">
        <w:rPr>
          <w:color w:val="000000" w:themeColor="text1"/>
        </w:rPr>
        <w:t>Anaesthesia</w:t>
      </w:r>
      <w:proofErr w:type="spellEnd"/>
      <w:r w:rsidRPr="00B87B88">
        <w:rPr>
          <w:color w:val="000000" w:themeColor="text1"/>
        </w:rPr>
        <w:t xml:space="preserve"> 2018; 73:1008.</w:t>
      </w:r>
    </w:p>
    <w:p w14:paraId="6EA21ECF" w14:textId="4BA906E7" w:rsidR="00B87B88" w:rsidRPr="00B87B88" w:rsidRDefault="00B87B88" w:rsidP="00B87B88">
      <w:pPr>
        <w:numPr>
          <w:ilvl w:val="0"/>
          <w:numId w:val="17"/>
        </w:numPr>
        <w:shd w:val="clear" w:color="auto" w:fill="FFFFFF"/>
        <w:rPr>
          <w:color w:val="000000" w:themeColor="text1"/>
        </w:rPr>
      </w:pPr>
      <w:r w:rsidRPr="00B87B88">
        <w:rPr>
          <w:color w:val="000000" w:themeColor="text1"/>
        </w:rPr>
        <w:t xml:space="preserve">Raiten JM, Morlok A, D'Ambrosia S, et al. Perioperative Management of Patients Receiving Sodium-Glucose Cotransporter 2 Inhibitors: Development of a Clinical Guideline at a Large Academic Medical Center. J </w:t>
      </w:r>
      <w:proofErr w:type="spellStart"/>
      <w:r w:rsidRPr="00B87B88">
        <w:rPr>
          <w:color w:val="000000" w:themeColor="text1"/>
        </w:rPr>
        <w:t>Cardiothorac</w:t>
      </w:r>
      <w:proofErr w:type="spellEnd"/>
      <w:r w:rsidRPr="00B87B88">
        <w:rPr>
          <w:color w:val="000000" w:themeColor="text1"/>
        </w:rPr>
        <w:t xml:space="preserve"> </w:t>
      </w:r>
      <w:proofErr w:type="spellStart"/>
      <w:r w:rsidRPr="00B87B88">
        <w:rPr>
          <w:color w:val="000000" w:themeColor="text1"/>
        </w:rPr>
        <w:t>Vasc</w:t>
      </w:r>
      <w:proofErr w:type="spellEnd"/>
      <w:r w:rsidRPr="00B87B88">
        <w:rPr>
          <w:color w:val="000000" w:themeColor="text1"/>
        </w:rPr>
        <w:t xml:space="preserve"> </w:t>
      </w:r>
      <w:proofErr w:type="spellStart"/>
      <w:r w:rsidRPr="00B87B88">
        <w:rPr>
          <w:color w:val="000000" w:themeColor="text1"/>
        </w:rPr>
        <w:t>Anesth</w:t>
      </w:r>
      <w:proofErr w:type="spellEnd"/>
      <w:r w:rsidRPr="00B87B88">
        <w:rPr>
          <w:color w:val="000000" w:themeColor="text1"/>
        </w:rPr>
        <w:t xml:space="preserve"> 2024; 38:57.</w:t>
      </w:r>
    </w:p>
    <w:p w14:paraId="5C84E21C" w14:textId="31F697FF" w:rsidR="00B87B88" w:rsidRPr="00B87B88" w:rsidRDefault="00B87B88" w:rsidP="00B87B88">
      <w:pPr>
        <w:numPr>
          <w:ilvl w:val="0"/>
          <w:numId w:val="17"/>
        </w:numPr>
        <w:shd w:val="clear" w:color="auto" w:fill="FFFFFF"/>
        <w:rPr>
          <w:color w:val="000000" w:themeColor="text1"/>
        </w:rPr>
      </w:pPr>
      <w:r w:rsidRPr="00B87B88">
        <w:rPr>
          <w:color w:val="000000" w:themeColor="text1"/>
        </w:rPr>
        <w:t>El-</w:t>
      </w:r>
      <w:proofErr w:type="spellStart"/>
      <w:r w:rsidRPr="00B87B88">
        <w:rPr>
          <w:color w:val="000000" w:themeColor="text1"/>
        </w:rPr>
        <w:t>Boghdadly</w:t>
      </w:r>
      <w:proofErr w:type="spellEnd"/>
      <w:r w:rsidRPr="00B87B88">
        <w:rPr>
          <w:color w:val="000000" w:themeColor="text1"/>
        </w:rPr>
        <w:t xml:space="preserve"> K, Dhesi J, </w:t>
      </w:r>
      <w:proofErr w:type="spellStart"/>
      <w:r w:rsidRPr="00B87B88">
        <w:rPr>
          <w:color w:val="000000" w:themeColor="text1"/>
        </w:rPr>
        <w:t>Fabb</w:t>
      </w:r>
      <w:proofErr w:type="spellEnd"/>
      <w:r w:rsidRPr="00B87B88">
        <w:rPr>
          <w:color w:val="000000" w:themeColor="text1"/>
        </w:rPr>
        <w:t xml:space="preserve"> P, et al. Elective peri-operative management of adults taking glucagon-like peptide-1 receptor agonists, glucose-dependent insulinotropic peptide agonists and sodium-glucose cotransporter-2 inhibitors: a multidisciplinary consensus statement: A consensus statement from the Association of </w:t>
      </w:r>
      <w:proofErr w:type="spellStart"/>
      <w:r w:rsidRPr="00B87B88">
        <w:rPr>
          <w:color w:val="000000" w:themeColor="text1"/>
        </w:rPr>
        <w:t>Anaesthetists</w:t>
      </w:r>
      <w:proofErr w:type="spellEnd"/>
      <w:r w:rsidRPr="00B87B88">
        <w:rPr>
          <w:color w:val="000000" w:themeColor="text1"/>
        </w:rPr>
        <w:t xml:space="preserve">, Association of British Clinical Diabetologists, British Obesity and Metabolic Surgery Society, Centre for Perioperative Care, Joint British Diabetes Societies for Inpatient Care, Royal College of </w:t>
      </w:r>
      <w:proofErr w:type="spellStart"/>
      <w:r w:rsidRPr="00B87B88">
        <w:rPr>
          <w:color w:val="000000" w:themeColor="text1"/>
        </w:rPr>
        <w:t>Anaesthetists</w:t>
      </w:r>
      <w:proofErr w:type="spellEnd"/>
      <w:r w:rsidRPr="00B87B88">
        <w:rPr>
          <w:color w:val="000000" w:themeColor="text1"/>
        </w:rPr>
        <w:t xml:space="preserve">, Society for Obesity and Bariatric </w:t>
      </w:r>
      <w:proofErr w:type="spellStart"/>
      <w:r w:rsidRPr="00B87B88">
        <w:rPr>
          <w:color w:val="000000" w:themeColor="text1"/>
        </w:rPr>
        <w:t>Anaesthesia</w:t>
      </w:r>
      <w:proofErr w:type="spellEnd"/>
      <w:r w:rsidRPr="00B87B88">
        <w:rPr>
          <w:color w:val="000000" w:themeColor="text1"/>
        </w:rPr>
        <w:t xml:space="preserve"> and UK Clinical Pharmacy Association. </w:t>
      </w:r>
      <w:proofErr w:type="spellStart"/>
      <w:r w:rsidRPr="00B87B88">
        <w:rPr>
          <w:color w:val="000000" w:themeColor="text1"/>
        </w:rPr>
        <w:t>Anaesthesia</w:t>
      </w:r>
      <w:proofErr w:type="spellEnd"/>
      <w:r w:rsidRPr="00B87B88">
        <w:rPr>
          <w:color w:val="000000" w:themeColor="text1"/>
        </w:rPr>
        <w:t xml:space="preserve"> 2025; 80:412.</w:t>
      </w:r>
    </w:p>
    <w:p w14:paraId="70E33033" w14:textId="7E6923ED" w:rsidR="00B87B88" w:rsidRPr="00B87B88" w:rsidRDefault="00B87B88" w:rsidP="00B87B88">
      <w:pPr>
        <w:numPr>
          <w:ilvl w:val="0"/>
          <w:numId w:val="17"/>
        </w:numPr>
        <w:shd w:val="clear" w:color="auto" w:fill="FFFFFF"/>
        <w:rPr>
          <w:color w:val="000000" w:themeColor="text1"/>
        </w:rPr>
      </w:pPr>
      <w:r w:rsidRPr="00B87B88">
        <w:rPr>
          <w:color w:val="000000" w:themeColor="text1"/>
        </w:rPr>
        <w:lastRenderedPageBreak/>
        <w:t xml:space="preserve">Chacko B, Whitley M, Beckmann U, et al. Postoperative </w:t>
      </w:r>
      <w:proofErr w:type="spellStart"/>
      <w:r w:rsidRPr="00B87B88">
        <w:rPr>
          <w:color w:val="000000" w:themeColor="text1"/>
        </w:rPr>
        <w:t>euglycaemic</w:t>
      </w:r>
      <w:proofErr w:type="spellEnd"/>
      <w:r w:rsidRPr="00B87B88">
        <w:rPr>
          <w:color w:val="000000" w:themeColor="text1"/>
        </w:rPr>
        <w:t xml:space="preserve"> diabetic ketoacidosis associated with sodium-glucose cotransporter-2 inhibitors (gliflozins): a report of two cases and review of the literature. </w:t>
      </w:r>
      <w:proofErr w:type="spellStart"/>
      <w:r w:rsidRPr="00B87B88">
        <w:rPr>
          <w:color w:val="000000" w:themeColor="text1"/>
        </w:rPr>
        <w:t>Anaesth</w:t>
      </w:r>
      <w:proofErr w:type="spellEnd"/>
      <w:r w:rsidRPr="00B87B88">
        <w:rPr>
          <w:color w:val="000000" w:themeColor="text1"/>
        </w:rPr>
        <w:t xml:space="preserve"> Intensive Care 2018; 46:215.</w:t>
      </w:r>
    </w:p>
    <w:p w14:paraId="56BD012C" w14:textId="29B421BE" w:rsidR="00B87B88" w:rsidRPr="00B87B88" w:rsidRDefault="00B87B88" w:rsidP="00B87B88">
      <w:pPr>
        <w:numPr>
          <w:ilvl w:val="0"/>
          <w:numId w:val="17"/>
        </w:numPr>
        <w:shd w:val="clear" w:color="auto" w:fill="FFFFFF"/>
        <w:rPr>
          <w:color w:val="000000" w:themeColor="text1"/>
        </w:rPr>
      </w:pPr>
      <w:r w:rsidRPr="00B87B88">
        <w:rPr>
          <w:color w:val="000000" w:themeColor="text1"/>
        </w:rPr>
        <w:t>Steinhorn B, Wiener-Kronish J. Dose-dependent relationship between SGLT2 inhibitor hold time and risk for postoperative anion gap acidosis: a single-</w:t>
      </w:r>
      <w:proofErr w:type="spellStart"/>
      <w:r w:rsidRPr="00B87B88">
        <w:rPr>
          <w:color w:val="000000" w:themeColor="text1"/>
        </w:rPr>
        <w:t>centre</w:t>
      </w:r>
      <w:proofErr w:type="spellEnd"/>
      <w:r w:rsidRPr="00B87B88">
        <w:rPr>
          <w:color w:val="000000" w:themeColor="text1"/>
        </w:rPr>
        <w:t xml:space="preserve"> retrospective analysis. Br J </w:t>
      </w:r>
      <w:proofErr w:type="spellStart"/>
      <w:r w:rsidRPr="00B87B88">
        <w:rPr>
          <w:color w:val="000000" w:themeColor="text1"/>
        </w:rPr>
        <w:t>Anaesth</w:t>
      </w:r>
      <w:proofErr w:type="spellEnd"/>
      <w:r w:rsidRPr="00B87B88">
        <w:rPr>
          <w:color w:val="000000" w:themeColor="text1"/>
        </w:rPr>
        <w:t xml:space="preserve"> 2023; 131:682.</w:t>
      </w:r>
    </w:p>
    <w:p w14:paraId="2BE2DD5C" w14:textId="711431E6" w:rsidR="00B87B88" w:rsidRPr="00B87B88" w:rsidRDefault="00B87B88" w:rsidP="00B87B88">
      <w:pPr>
        <w:numPr>
          <w:ilvl w:val="0"/>
          <w:numId w:val="17"/>
        </w:numPr>
        <w:shd w:val="clear" w:color="auto" w:fill="FFFFFF"/>
        <w:rPr>
          <w:color w:val="000000" w:themeColor="text1"/>
        </w:rPr>
      </w:pPr>
      <w:r w:rsidRPr="00B87B88">
        <w:rPr>
          <w:color w:val="000000" w:themeColor="text1"/>
        </w:rPr>
        <w:t xml:space="preserve">Branco A, Fatima R, Liblik K, et al. Euglycemic Diabetic Ketoacidosis Associated With Sodium-Glucose Cotransporter-2 Inhibitors After Cardiac Surgery: A Review of Current Literature. J </w:t>
      </w:r>
      <w:proofErr w:type="spellStart"/>
      <w:r w:rsidRPr="00B87B88">
        <w:rPr>
          <w:color w:val="000000" w:themeColor="text1"/>
        </w:rPr>
        <w:t>Cardiothorac</w:t>
      </w:r>
      <w:proofErr w:type="spellEnd"/>
      <w:r w:rsidRPr="00B87B88">
        <w:rPr>
          <w:color w:val="000000" w:themeColor="text1"/>
        </w:rPr>
        <w:t xml:space="preserve"> </w:t>
      </w:r>
      <w:proofErr w:type="spellStart"/>
      <w:r w:rsidRPr="00B87B88">
        <w:rPr>
          <w:color w:val="000000" w:themeColor="text1"/>
        </w:rPr>
        <w:t>Vasc</w:t>
      </w:r>
      <w:proofErr w:type="spellEnd"/>
      <w:r w:rsidRPr="00B87B88">
        <w:rPr>
          <w:color w:val="000000" w:themeColor="text1"/>
        </w:rPr>
        <w:t xml:space="preserve"> </w:t>
      </w:r>
      <w:proofErr w:type="spellStart"/>
      <w:r w:rsidRPr="00B87B88">
        <w:rPr>
          <w:color w:val="000000" w:themeColor="text1"/>
        </w:rPr>
        <w:t>Anesth</w:t>
      </w:r>
      <w:proofErr w:type="spellEnd"/>
      <w:r w:rsidRPr="00B87B88">
        <w:rPr>
          <w:color w:val="000000" w:themeColor="text1"/>
        </w:rPr>
        <w:t xml:space="preserve"> 2022; 36:3877.</w:t>
      </w:r>
    </w:p>
    <w:p w14:paraId="00F6F5EB" w14:textId="77777777" w:rsidR="00B87B88" w:rsidRPr="00555233" w:rsidRDefault="00B87B88" w:rsidP="00B87B88">
      <w:pPr>
        <w:rPr>
          <w:b/>
          <w:bCs/>
          <w:sz w:val="28"/>
          <w:szCs w:val="28"/>
        </w:rPr>
      </w:pPr>
    </w:p>
    <w:p w14:paraId="63BFA2B1" w14:textId="77777777" w:rsidR="00B87B88" w:rsidRPr="00F56685" w:rsidRDefault="00B87B88">
      <w:pPr>
        <w:rPr>
          <w:color w:val="000000" w:themeColor="text1"/>
        </w:rPr>
      </w:pPr>
    </w:p>
    <w:sectPr w:rsidR="00B87B88" w:rsidRPr="00F56685" w:rsidSect="00034616">
      <w:headerReference w:type="default" r:id="rId11"/>
      <w:footerReference w:type="even"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B3E74" w14:textId="77777777" w:rsidR="00E93411" w:rsidRDefault="00E93411" w:rsidP="00F56685">
      <w:r>
        <w:separator/>
      </w:r>
    </w:p>
  </w:endnote>
  <w:endnote w:type="continuationSeparator" w:id="0">
    <w:p w14:paraId="00A134E9" w14:textId="77777777" w:rsidR="00E93411" w:rsidRDefault="00E93411" w:rsidP="00F56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3176561"/>
      <w:docPartObj>
        <w:docPartGallery w:val="Page Numbers (Bottom of Page)"/>
        <w:docPartUnique/>
      </w:docPartObj>
    </w:sdtPr>
    <w:sdtContent>
      <w:p w14:paraId="28A6DE46" w14:textId="266948A1" w:rsidR="00F61243" w:rsidRDefault="00F61243" w:rsidP="00EC74C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5A511C1" w14:textId="77777777" w:rsidR="00F61243" w:rsidRDefault="00F612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6469897"/>
      <w:docPartObj>
        <w:docPartGallery w:val="Page Numbers (Bottom of Page)"/>
        <w:docPartUnique/>
      </w:docPartObj>
    </w:sdtPr>
    <w:sdtContent>
      <w:p w14:paraId="55B4F8A5" w14:textId="2CCFA41D" w:rsidR="00F61243" w:rsidRDefault="00F61243" w:rsidP="00EC74C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FDB7F3" w14:textId="77777777" w:rsidR="00F659CD" w:rsidRDefault="00F659CD">
    <w:pPr>
      <w:pStyle w:val="Footer"/>
    </w:pPr>
  </w:p>
  <w:p w14:paraId="482A4C49" w14:textId="77777777" w:rsidR="00F659CD" w:rsidRDefault="00F659CD">
    <w:pPr>
      <w:pStyle w:val="Footer"/>
    </w:pPr>
  </w:p>
  <w:p w14:paraId="3FEBD772" w14:textId="376F6960" w:rsidR="00F61243" w:rsidRDefault="00F659CD" w:rsidP="00F659CD">
    <w:pPr>
      <w:pStyle w:val="Footer"/>
      <w:jc w:val="center"/>
    </w:pPr>
    <w:r>
      <w:t>Dept. Anesthesiology, BUMCP/COM-P, 11 Dec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CA5E9" w14:textId="77777777" w:rsidR="00E93411" w:rsidRDefault="00E93411" w:rsidP="00F56685">
      <w:r>
        <w:separator/>
      </w:r>
    </w:p>
  </w:footnote>
  <w:footnote w:type="continuationSeparator" w:id="0">
    <w:p w14:paraId="6ACE2BCC" w14:textId="77777777" w:rsidR="00E93411" w:rsidRDefault="00E93411" w:rsidP="00F566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052D4" w14:textId="657E7FE7" w:rsidR="00F56685" w:rsidRDefault="00F56685" w:rsidP="00F56685">
    <w:pPr>
      <w:pStyle w:val="Header"/>
      <w:jc w:val="center"/>
    </w:pPr>
    <w:r>
      <w:rPr>
        <w:noProof/>
      </w:rPr>
      <w:drawing>
        <wp:inline distT="0" distB="0" distL="0" distR="0" wp14:anchorId="40FD9C1B" wp14:editId="59124230">
          <wp:extent cx="1430447" cy="814560"/>
          <wp:effectExtent l="0" t="0" r="5080" b="0"/>
          <wp:docPr id="780881500" name="Picture 1" descr="A logo of a university of arizo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881500" name="Picture 1" descr="A logo of a university of arizona&#10;&#10;AI-generated content may be incorrect."/>
                  <pic:cNvPicPr/>
                </pic:nvPicPr>
                <pic:blipFill>
                  <a:blip r:embed="rId1"/>
                  <a:stretch>
                    <a:fillRect/>
                  </a:stretch>
                </pic:blipFill>
                <pic:spPr>
                  <a:xfrm>
                    <a:off x="0" y="0"/>
                    <a:ext cx="1459753" cy="8312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B313D4"/>
    <w:multiLevelType w:val="hybridMultilevel"/>
    <w:tmpl w:val="9BB88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C00CA3"/>
    <w:multiLevelType w:val="hybridMultilevel"/>
    <w:tmpl w:val="D298D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464AD7"/>
    <w:multiLevelType w:val="multilevel"/>
    <w:tmpl w:val="B1186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E346472"/>
    <w:multiLevelType w:val="hybridMultilevel"/>
    <w:tmpl w:val="537EA01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FC754C9"/>
    <w:multiLevelType w:val="hybridMultilevel"/>
    <w:tmpl w:val="B0183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66582E"/>
    <w:multiLevelType w:val="hybridMultilevel"/>
    <w:tmpl w:val="3F54CE3E"/>
    <w:lvl w:ilvl="0" w:tplc="4EF6B16E">
      <w:start w:val="1"/>
      <w:numFmt w:val="decimal"/>
      <w:lvlText w:val="%1."/>
      <w:lvlJc w:val="left"/>
      <w:pPr>
        <w:ind w:left="720" w:hanging="360"/>
      </w:pPr>
      <w:rPr>
        <w:rFonts w:asciiTheme="minorHAnsi" w:hAnsiTheme="minorHAnsi" w:cstheme="minorBidi"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041BEA"/>
    <w:multiLevelType w:val="hybridMultilevel"/>
    <w:tmpl w:val="52863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FE279A"/>
    <w:multiLevelType w:val="hybridMultilevel"/>
    <w:tmpl w:val="D194A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6105275">
    <w:abstractNumId w:val="8"/>
  </w:num>
  <w:num w:numId="2" w16cid:durableId="2087994521">
    <w:abstractNumId w:val="6"/>
  </w:num>
  <w:num w:numId="3" w16cid:durableId="1307584993">
    <w:abstractNumId w:val="5"/>
  </w:num>
  <w:num w:numId="4" w16cid:durableId="1564564967">
    <w:abstractNumId w:val="4"/>
  </w:num>
  <w:num w:numId="5" w16cid:durableId="1164051925">
    <w:abstractNumId w:val="7"/>
  </w:num>
  <w:num w:numId="6" w16cid:durableId="550921857">
    <w:abstractNumId w:val="3"/>
  </w:num>
  <w:num w:numId="7" w16cid:durableId="1891112331">
    <w:abstractNumId w:val="2"/>
  </w:num>
  <w:num w:numId="8" w16cid:durableId="449208942">
    <w:abstractNumId w:val="1"/>
  </w:num>
  <w:num w:numId="9" w16cid:durableId="1736708327">
    <w:abstractNumId w:val="0"/>
  </w:num>
  <w:num w:numId="10" w16cid:durableId="139614426">
    <w:abstractNumId w:val="15"/>
  </w:num>
  <w:num w:numId="11" w16cid:durableId="128134717">
    <w:abstractNumId w:val="13"/>
  </w:num>
  <w:num w:numId="12" w16cid:durableId="1402410391">
    <w:abstractNumId w:val="16"/>
  </w:num>
  <w:num w:numId="13" w16cid:durableId="1030836146">
    <w:abstractNumId w:val="14"/>
  </w:num>
  <w:num w:numId="14" w16cid:durableId="235942108">
    <w:abstractNumId w:val="12"/>
  </w:num>
  <w:num w:numId="15" w16cid:durableId="1064597685">
    <w:abstractNumId w:val="10"/>
  </w:num>
  <w:num w:numId="16" w16cid:durableId="775372830">
    <w:abstractNumId w:val="9"/>
  </w:num>
  <w:num w:numId="17" w16cid:durableId="479978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87AC6"/>
    <w:rsid w:val="003E7DC9"/>
    <w:rsid w:val="00425318"/>
    <w:rsid w:val="00501E2B"/>
    <w:rsid w:val="00555233"/>
    <w:rsid w:val="005864BD"/>
    <w:rsid w:val="0093032C"/>
    <w:rsid w:val="00AA1D8D"/>
    <w:rsid w:val="00B47730"/>
    <w:rsid w:val="00B662A4"/>
    <w:rsid w:val="00B87B88"/>
    <w:rsid w:val="00CB0664"/>
    <w:rsid w:val="00D54AD6"/>
    <w:rsid w:val="00D768C7"/>
    <w:rsid w:val="00DA1EFA"/>
    <w:rsid w:val="00E93411"/>
    <w:rsid w:val="00F56685"/>
    <w:rsid w:val="00F61243"/>
    <w:rsid w:val="00F659C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3B332D"/>
  <w14:defaultImageDpi w14:val="300"/>
  <w15:docId w15:val="{1435F2C3-50C5-3B49-9D6E-642540B7C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7B8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F61243"/>
  </w:style>
  <w:style w:type="character" w:styleId="Hyperlink">
    <w:name w:val="Hyperlink"/>
    <w:basedOn w:val="DefaultParagraphFont"/>
    <w:uiPriority w:val="99"/>
    <w:unhideWhenUsed/>
    <w:rsid w:val="00501E2B"/>
    <w:rPr>
      <w:color w:val="0000FF" w:themeColor="hyperlink"/>
      <w:u w:val="single"/>
    </w:rPr>
  </w:style>
  <w:style w:type="character" w:styleId="UnresolvedMention">
    <w:name w:val="Unresolved Mention"/>
    <w:basedOn w:val="DefaultParagraphFont"/>
    <w:uiPriority w:val="99"/>
    <w:semiHidden/>
    <w:unhideWhenUsed/>
    <w:rsid w:val="00501E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drugs/drug-safety-and-availability/fda-revises-labels-sglt2-inhibitors-diabetes-include-warnings-about-too-much-acid-blood-and-seriou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1009</Words>
  <Characters>5755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Galvagno, Samuel Michael - (sgalvagno)</cp:lastModifiedBy>
  <cp:revision>8</cp:revision>
  <dcterms:created xsi:type="dcterms:W3CDTF">2025-12-11T23:14:00Z</dcterms:created>
  <dcterms:modified xsi:type="dcterms:W3CDTF">2025-12-17T18:11:00Z</dcterms:modified>
  <cp:category/>
</cp:coreProperties>
</file>