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78F6D" w14:textId="77777777" w:rsid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824BB89" w14:textId="589DAACB" w:rsidR="00534F45" w:rsidRDefault="00534F45" w:rsidP="00534F4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Spinal Protocol for Total Joint Arthroplasty</w:t>
      </w:r>
    </w:p>
    <w:p w14:paraId="32A5A0E1" w14:textId="1602C95B" w:rsidR="001D16C0" w:rsidRPr="001D16C0" w:rsidRDefault="001D16C0" w:rsidP="00534F4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kern w:val="0"/>
          <w14:ligatures w14:val="none"/>
        </w:rPr>
      </w:pPr>
      <w:r w:rsidRPr="001D16C0">
        <w:rPr>
          <w:rFonts w:ascii="Times New Roman" w:eastAsia="Times New Roman" w:hAnsi="Times New Roman" w:cs="Times New Roman"/>
          <w:kern w:val="0"/>
          <w14:ligatures w14:val="none"/>
        </w:rPr>
        <w:t>25 Sept 2025</w:t>
      </w:r>
    </w:p>
    <w:p w14:paraId="4993BBC7" w14:textId="03164369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Pre-procedure Preparation</w:t>
      </w:r>
    </w:p>
    <w:p w14:paraId="4397A1CD" w14:textId="77777777" w:rsidR="00534F45" w:rsidRPr="00534F45" w:rsidRDefault="00534F45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Patient selection:</w:t>
      </w:r>
    </w:p>
    <w:p w14:paraId="2B270D84" w14:textId="77777777" w:rsidR="00534F45" w:rsidRPr="00534F45" w:rsidRDefault="00534F45" w:rsidP="00534F4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Assess contraindications (coagulopathy, infection at puncture site, patient refusal, severe hypovolemia, raised ICP, certain spinal deformities).</w:t>
      </w:r>
    </w:p>
    <w:p w14:paraId="143E44D7" w14:textId="77777777" w:rsidR="00534F45" w:rsidRPr="00534F45" w:rsidRDefault="00534F45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IV access: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Large-bore (18G or 20G) peripheral IV.</w:t>
      </w:r>
    </w:p>
    <w:p w14:paraId="33E3B550" w14:textId="77777777" w:rsidR="00534F45" w:rsidRPr="00534F45" w:rsidRDefault="00534F45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Monitoring: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Standard ASA monitors (ECG, non-invasive BP, SpO₂ ± capnography if sedated).</w:t>
      </w:r>
    </w:p>
    <w:p w14:paraId="41AF834C" w14:textId="77777777" w:rsidR="00534F45" w:rsidRPr="00534F45" w:rsidRDefault="00534F45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Fluids: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Pre-loading/co-loading with crystalloids as needed to reduce risk of hypotension.</w:t>
      </w:r>
    </w:p>
    <w:p w14:paraId="054CCE29" w14:textId="77777777" w:rsidR="00534F45" w:rsidRDefault="00534F45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Adjuncts available: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Vasopressors (phenylephrine, ephedrine), intralipid (if intrathecal opioid used), airway equipment in case of conversion.</w:t>
      </w:r>
    </w:p>
    <w:p w14:paraId="6410F63F" w14:textId="79C3AE1E" w:rsidR="007A0A32" w:rsidRPr="00534F45" w:rsidRDefault="007A0A32" w:rsidP="00534F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Timing per ASRA guidelines (e.g., hold LMWH 12h before, DOACs longer depending on half-life).</w:t>
      </w:r>
    </w:p>
    <w:p w14:paraId="6E8D9C4F" w14:textId="77777777" w:rsidR="00534F45" w:rsidRPr="00534F45" w:rsidRDefault="00BE61C9" w:rsidP="00534F4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70DBC38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9B2835A" w14:textId="77777777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Patient Positioning</w:t>
      </w:r>
    </w:p>
    <w:p w14:paraId="6065E8E3" w14:textId="77777777" w:rsidR="00534F45" w:rsidRPr="00534F45" w:rsidRDefault="00534F45" w:rsidP="00534F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Sitting or lateral decubitus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(depending on provider preference and patient anatomy).</w:t>
      </w:r>
    </w:p>
    <w:p w14:paraId="40A43A76" w14:textId="77777777" w:rsidR="00534F45" w:rsidRPr="00534F45" w:rsidRDefault="00534F45" w:rsidP="00534F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Flex spine (“shoulders to knees” in sitting) to open interspinous spaces.</w:t>
      </w:r>
    </w:p>
    <w:p w14:paraId="77638D37" w14:textId="641F0BA3" w:rsidR="00534F45" w:rsidRPr="00534F45" w:rsidRDefault="00BE61C9" w:rsidP="00534F4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4FA8C94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12D7AB4" w14:textId="77777777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Technique</w:t>
      </w:r>
    </w:p>
    <w:p w14:paraId="08C931AC" w14:textId="77777777" w:rsidR="00534F45" w:rsidRPr="00534F45" w:rsidRDefault="00534F45" w:rsidP="00534F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Asepsis: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Chlorhexidine prep, sterile drape, mask, gloves, hat.</w:t>
      </w:r>
    </w:p>
    <w:p w14:paraId="298344A4" w14:textId="77777777" w:rsidR="00534F45" w:rsidRPr="00534F45" w:rsidRDefault="00534F45" w:rsidP="00534F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Local infiltration: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1–3 mL lidocaine 1% at skin.</w:t>
      </w:r>
    </w:p>
    <w:p w14:paraId="2BED010D" w14:textId="77777777" w:rsidR="00534F45" w:rsidRPr="00534F45" w:rsidRDefault="00534F45" w:rsidP="00534F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Needle: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25G–27G Quincke, Sprotte, or Whitacre (pencil-point preferred to reduce PDPH).</w:t>
      </w:r>
    </w:p>
    <w:p w14:paraId="3E4E0F6A" w14:textId="77777777" w:rsidR="00534F45" w:rsidRPr="00534F45" w:rsidRDefault="00534F45" w:rsidP="00534F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Level: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L3–L4 or L4–L5 interspace.</w:t>
      </w:r>
    </w:p>
    <w:p w14:paraId="53B2181E" w14:textId="77777777" w:rsidR="00534F45" w:rsidRPr="00534F45" w:rsidRDefault="00534F45" w:rsidP="00534F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Intrathecal injection: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Confirm free flow of CSF before injection.</w:t>
      </w:r>
    </w:p>
    <w:p w14:paraId="72542318" w14:textId="77777777" w:rsidR="00534F45" w:rsidRPr="00534F45" w:rsidRDefault="00BE61C9" w:rsidP="00534F4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AEFFA9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0D334A6" w14:textId="77777777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Drug Regimens (common examples)</w:t>
      </w:r>
    </w:p>
    <w:p w14:paraId="6197918E" w14:textId="77777777" w:rsidR="00534F45" w:rsidRPr="00534F45" w:rsidRDefault="00534F45" w:rsidP="00534F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Local anesthetic options:</w:t>
      </w:r>
    </w:p>
    <w:p w14:paraId="0EB7D8D8" w14:textId="77777777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Bupivacaine 0.5% hyperbaric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: 10–15 mg (2–3 mL) → sensory level T10–T6.</w:t>
      </w:r>
    </w:p>
    <w:p w14:paraId="3E068B4B" w14:textId="77777777" w:rsidR="00534F45" w:rsidRDefault="00534F45" w:rsidP="00534F45">
      <w:pPr>
        <w:numPr>
          <w:ilvl w:val="2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Most common choice; duration ~2–3 hours.</w:t>
      </w:r>
    </w:p>
    <w:p w14:paraId="1C1A9843" w14:textId="77777777" w:rsid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Mepivacaine 1.5%–2% (45–60 mg)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for shorter cases (rapid recovery, outpatient TJA).</w:t>
      </w:r>
    </w:p>
    <w:p w14:paraId="0309C6FE" w14:textId="2923BE44" w:rsidR="00534F45" w:rsidRPr="00534F45" w:rsidRDefault="00534F45" w:rsidP="00534F45">
      <w:pPr>
        <w:numPr>
          <w:ilvl w:val="2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hAnsi="Times New Roman" w:cs="Times New Roman"/>
          <w:sz w:val="23"/>
          <w:szCs w:val="23"/>
        </w:rPr>
        <w:t xml:space="preserve">Primary (anticipated case time 90 minutes: </w:t>
      </w:r>
      <w:proofErr w:type="spellStart"/>
      <w:r w:rsidRPr="00534F45">
        <w:rPr>
          <w:rFonts w:ascii="Times New Roman" w:hAnsi="Times New Roman" w:cs="Times New Roman"/>
          <w:sz w:val="23"/>
          <w:szCs w:val="23"/>
        </w:rPr>
        <w:t>mepivicaine</w:t>
      </w:r>
      <w:proofErr w:type="spellEnd"/>
      <w:r w:rsidRPr="00534F45">
        <w:rPr>
          <w:rFonts w:ascii="Times New Roman" w:hAnsi="Times New Roman" w:cs="Times New Roman"/>
          <w:sz w:val="23"/>
          <w:szCs w:val="23"/>
        </w:rPr>
        <w:t xml:space="preserve"> 1.5%: 3.5mL for patients 5 to 6 ft tall. 4mL for patients over 6 ft, 3mL for patients under 5 ft.</w:t>
      </w:r>
    </w:p>
    <w:p w14:paraId="7633F7DF" w14:textId="7A5A2340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Ropivacaine 0.5%–0.75%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sometimes used, less cardiotoxic.</w:t>
      </w:r>
    </w:p>
    <w:p w14:paraId="6DE6A0F9" w14:textId="77777777" w:rsidR="00534F45" w:rsidRPr="00534F45" w:rsidRDefault="00534F45" w:rsidP="00534F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Intrathecal adjuncts:</w:t>
      </w:r>
    </w:p>
    <w:p w14:paraId="43BA6FE9" w14:textId="7ADF3F42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Opioids: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Fentanyl 10–25 mcg or morphine 100–200 mcg (for extended analgesia, though morphine requires monitoring for delayed respiratory depression).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NOT preferred at BUMCP. </w:t>
      </w:r>
    </w:p>
    <w:p w14:paraId="6264166F" w14:textId="77777777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Clonidine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15–30 mcg occasionally used for prolongation.</w:t>
      </w:r>
    </w:p>
    <w:p w14:paraId="34BD8388" w14:textId="77777777" w:rsidR="00534F45" w:rsidRPr="00534F45" w:rsidRDefault="00534F45" w:rsidP="00534F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Sedation (optional):</w:t>
      </w:r>
    </w:p>
    <w:p w14:paraId="656BBEC3" w14:textId="77777777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Midazolam 1–2 mg IV,</w:t>
      </w:r>
    </w:p>
    <w:p w14:paraId="71822E2E" w14:textId="77777777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Propofol infusion 25–75 mcg/kg/min,</w:t>
      </w:r>
    </w:p>
    <w:p w14:paraId="2A3297C5" w14:textId="77777777" w:rsidR="00534F45" w:rsidRPr="00534F45" w:rsidRDefault="00534F45" w:rsidP="00534F4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Dexmedetomidine 0.2–0.5 mcg/kg/hr.</w:t>
      </w:r>
    </w:p>
    <w:p w14:paraId="71F51A2F" w14:textId="77777777" w:rsidR="00534F45" w:rsidRPr="00534F45" w:rsidRDefault="00BE61C9" w:rsidP="00534F4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36DFB46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2FA7110" w14:textId="77777777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5. Intraoperative Management</w:t>
      </w:r>
    </w:p>
    <w:p w14:paraId="3CD0538C" w14:textId="77777777" w:rsidR="00534F45" w:rsidRPr="00534F45" w:rsidRDefault="00534F45" w:rsidP="00534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Target block height:</w:t>
      </w:r>
    </w:p>
    <w:p w14:paraId="1F21E872" w14:textId="77777777" w:rsidR="00534F45" w:rsidRPr="00534F45" w:rsidRDefault="00534F45" w:rsidP="00534F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T10–T12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usually adequate for hip or knee arthroplasty.</w:t>
      </w:r>
    </w:p>
    <w:p w14:paraId="72DF14EF" w14:textId="77777777" w:rsidR="00534F45" w:rsidRPr="00534F45" w:rsidRDefault="00534F45" w:rsidP="00534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Hemodynamic support:</w:t>
      </w:r>
    </w:p>
    <w:p w14:paraId="73330583" w14:textId="77777777" w:rsidR="00534F45" w:rsidRPr="00534F45" w:rsidRDefault="00534F45" w:rsidP="00534F45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Phenylephrine (50–100 mcg IV boluses or infusion) or ephedrine (5–10 mg IV).</w:t>
      </w:r>
    </w:p>
    <w:p w14:paraId="076779FD" w14:textId="77777777" w:rsidR="00534F45" w:rsidRPr="00534F45" w:rsidRDefault="00534F45" w:rsidP="00534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Sedation titrated as needed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to maintain comfort.</w:t>
      </w:r>
    </w:p>
    <w:p w14:paraId="27BF9B14" w14:textId="77777777" w:rsidR="00534F45" w:rsidRPr="00534F45" w:rsidRDefault="00534F45" w:rsidP="00534F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Supplemental oxygen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by nasal cannula.</w:t>
      </w:r>
    </w:p>
    <w:p w14:paraId="7CAD22A2" w14:textId="77777777" w:rsidR="00534F45" w:rsidRPr="00534F45" w:rsidRDefault="00BE61C9" w:rsidP="00534F4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D4DAD01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19168EED" w14:textId="77777777" w:rsidR="00534F45" w:rsidRPr="00534F45" w:rsidRDefault="00534F45" w:rsidP="00534F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6. Postoperative Analgesia</w:t>
      </w:r>
    </w:p>
    <w:p w14:paraId="1175C722" w14:textId="77777777" w:rsidR="00534F45" w:rsidRPr="00534F45" w:rsidRDefault="00534F45" w:rsidP="00534F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kern w:val="0"/>
          <w14:ligatures w14:val="none"/>
        </w:rPr>
        <w:t>If intrathecal morphine given → monitor respiratory rate, SpO₂ for at least 24h.</w:t>
      </w:r>
    </w:p>
    <w:p w14:paraId="6E651D32" w14:textId="77777777" w:rsidR="00534F45" w:rsidRPr="00534F45" w:rsidRDefault="00534F45" w:rsidP="00534F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Multimodal analgesia: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Acetaminophen, NSAIDs/COX-2 inhibitors, peripheral nerve block (adductor canal block, IPACK for TKA), periarticular infiltration, </w:t>
      </w:r>
      <w:proofErr w:type="spellStart"/>
      <w:r w:rsidRPr="00534F45">
        <w:rPr>
          <w:rFonts w:ascii="Times New Roman" w:eastAsia="Times New Roman" w:hAnsi="Times New Roman" w:cs="Times New Roman"/>
          <w:kern w:val="0"/>
          <w14:ligatures w14:val="none"/>
        </w:rPr>
        <w:t>gabapentinoids</w:t>
      </w:r>
      <w:proofErr w:type="spellEnd"/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as per protocol.</w:t>
      </w:r>
    </w:p>
    <w:p w14:paraId="381DE9B2" w14:textId="77777777" w:rsidR="00534F45" w:rsidRPr="00534F45" w:rsidRDefault="00534F45" w:rsidP="00534F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34F4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Antiemetics:</w:t>
      </w:r>
      <w:r w:rsidRPr="00534F45">
        <w:rPr>
          <w:rFonts w:ascii="Times New Roman" w:eastAsia="Times New Roman" w:hAnsi="Times New Roman" w:cs="Times New Roman"/>
          <w:kern w:val="0"/>
          <w14:ligatures w14:val="none"/>
        </w:rPr>
        <w:t xml:space="preserve"> Ondansetron prophylaxis if intrathecal opioid used.</w:t>
      </w:r>
    </w:p>
    <w:p w14:paraId="4151B6B7" w14:textId="189DD1BF" w:rsidR="003C3B2E" w:rsidRPr="00534F45" w:rsidRDefault="00BE61C9" w:rsidP="007A0A3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BE61C9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07F2F3E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sectPr w:rsidR="003C3B2E" w:rsidRPr="00534F45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5AD34" w14:textId="77777777" w:rsidR="007438B6" w:rsidRDefault="007438B6" w:rsidP="00534F45">
      <w:pPr>
        <w:spacing w:after="0" w:line="240" w:lineRule="auto"/>
      </w:pPr>
      <w:r>
        <w:separator/>
      </w:r>
    </w:p>
  </w:endnote>
  <w:endnote w:type="continuationSeparator" w:id="0">
    <w:p w14:paraId="2AFF0DDB" w14:textId="77777777" w:rsidR="007438B6" w:rsidRDefault="007438B6" w:rsidP="00534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87153126"/>
      <w:docPartObj>
        <w:docPartGallery w:val="Page Numbers (Bottom of Page)"/>
        <w:docPartUnique/>
      </w:docPartObj>
    </w:sdtPr>
    <w:sdtContent>
      <w:p w14:paraId="7A0C7052" w14:textId="47A94BA4" w:rsidR="00534F45" w:rsidRDefault="00534F45" w:rsidP="000255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29C87A3" w14:textId="77777777" w:rsidR="00534F45" w:rsidRDefault="00534F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98498214"/>
      <w:docPartObj>
        <w:docPartGallery w:val="Page Numbers (Bottom of Page)"/>
        <w:docPartUnique/>
      </w:docPartObj>
    </w:sdtPr>
    <w:sdtContent>
      <w:p w14:paraId="277D228D" w14:textId="0E573BFE" w:rsidR="00534F45" w:rsidRDefault="00534F45" w:rsidP="0002552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BEC449" w14:textId="77777777" w:rsidR="00534F45" w:rsidRDefault="00534F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40B05" w14:textId="77777777" w:rsidR="007438B6" w:rsidRDefault="007438B6" w:rsidP="00534F45">
      <w:pPr>
        <w:spacing w:after="0" w:line="240" w:lineRule="auto"/>
      </w:pPr>
      <w:r>
        <w:separator/>
      </w:r>
    </w:p>
  </w:footnote>
  <w:footnote w:type="continuationSeparator" w:id="0">
    <w:p w14:paraId="4C677E43" w14:textId="77777777" w:rsidR="007438B6" w:rsidRDefault="007438B6" w:rsidP="00534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8348B" w14:textId="7DDB5F64" w:rsidR="00534F45" w:rsidRDefault="00534F45" w:rsidP="00534F45">
    <w:pPr>
      <w:pStyle w:val="Header"/>
      <w:jc w:val="center"/>
    </w:pPr>
    <w:r>
      <w:rPr>
        <w:noProof/>
      </w:rPr>
      <w:drawing>
        <wp:inline distT="0" distB="0" distL="0" distR="0" wp14:anchorId="63E76C46" wp14:editId="02FF96D9">
          <wp:extent cx="1557867" cy="887119"/>
          <wp:effectExtent l="0" t="0" r="4445" b="1905"/>
          <wp:docPr id="1901081603" name="Picture 1" descr="A logo of a university of arizon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1081603" name="Picture 1" descr="A logo of a university of arizon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3771" cy="901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B844AD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7774BF"/>
    <w:multiLevelType w:val="multilevel"/>
    <w:tmpl w:val="39A00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D243D"/>
    <w:multiLevelType w:val="multilevel"/>
    <w:tmpl w:val="D014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4D564B"/>
    <w:multiLevelType w:val="multilevel"/>
    <w:tmpl w:val="A70C1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8F4902"/>
    <w:multiLevelType w:val="multilevel"/>
    <w:tmpl w:val="38AC6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8298E"/>
    <w:multiLevelType w:val="multilevel"/>
    <w:tmpl w:val="A934D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C546E"/>
    <w:multiLevelType w:val="multilevel"/>
    <w:tmpl w:val="AAEE2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067193"/>
    <w:multiLevelType w:val="multilevel"/>
    <w:tmpl w:val="E0662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3385872">
    <w:abstractNumId w:val="1"/>
  </w:num>
  <w:num w:numId="2" w16cid:durableId="873614103">
    <w:abstractNumId w:val="5"/>
  </w:num>
  <w:num w:numId="3" w16cid:durableId="1347293221">
    <w:abstractNumId w:val="7"/>
  </w:num>
  <w:num w:numId="4" w16cid:durableId="1930112638">
    <w:abstractNumId w:val="2"/>
  </w:num>
  <w:num w:numId="5" w16cid:durableId="1326588567">
    <w:abstractNumId w:val="6"/>
  </w:num>
  <w:num w:numId="6" w16cid:durableId="1533613668">
    <w:abstractNumId w:val="3"/>
  </w:num>
  <w:num w:numId="7" w16cid:durableId="225915035">
    <w:abstractNumId w:val="4"/>
  </w:num>
  <w:num w:numId="8" w16cid:durableId="667752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F45"/>
    <w:rsid w:val="00191334"/>
    <w:rsid w:val="001D16C0"/>
    <w:rsid w:val="002270E6"/>
    <w:rsid w:val="003C3B2E"/>
    <w:rsid w:val="003F5192"/>
    <w:rsid w:val="00487A38"/>
    <w:rsid w:val="004A3470"/>
    <w:rsid w:val="004E71D5"/>
    <w:rsid w:val="00534F45"/>
    <w:rsid w:val="007438B6"/>
    <w:rsid w:val="007A0A32"/>
    <w:rsid w:val="00B455AB"/>
    <w:rsid w:val="00BE61C9"/>
    <w:rsid w:val="00C45B2D"/>
    <w:rsid w:val="00DB55E5"/>
    <w:rsid w:val="00E91EC1"/>
    <w:rsid w:val="00F13456"/>
    <w:rsid w:val="00F51B7F"/>
    <w:rsid w:val="00FC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1796D"/>
  <w15:chartTrackingRefBased/>
  <w15:docId w15:val="{BD1D70EF-F0C9-A34E-A8FC-D0BE1F48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F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F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F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F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F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F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F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F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F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F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34F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F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F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F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F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F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F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F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F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F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F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F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F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F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F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F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F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F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F4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534F4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34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34F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F45"/>
  </w:style>
  <w:style w:type="paragraph" w:styleId="Footer">
    <w:name w:val="footer"/>
    <w:basedOn w:val="Normal"/>
    <w:link w:val="FooterChar"/>
    <w:uiPriority w:val="99"/>
    <w:unhideWhenUsed/>
    <w:rsid w:val="00534F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F45"/>
  </w:style>
  <w:style w:type="character" w:styleId="PageNumber">
    <w:name w:val="page number"/>
    <w:basedOn w:val="DefaultParagraphFont"/>
    <w:uiPriority w:val="99"/>
    <w:semiHidden/>
    <w:unhideWhenUsed/>
    <w:rsid w:val="00534F45"/>
  </w:style>
  <w:style w:type="paragraph" w:customStyle="1" w:styleId="Default">
    <w:name w:val="Default"/>
    <w:rsid w:val="00534F45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Galvagno, Samuel Michael - (sgalvagno)</dc:creator>
  <cp:keywords/>
  <dc:description/>
  <cp:lastModifiedBy>Galvagno, Samuel Michael - (sgalvagno)</cp:lastModifiedBy>
  <cp:revision>2</cp:revision>
  <dcterms:created xsi:type="dcterms:W3CDTF">2025-10-27T14:52:00Z</dcterms:created>
  <dcterms:modified xsi:type="dcterms:W3CDTF">2025-10-27T14:52:00Z</dcterms:modified>
</cp:coreProperties>
</file>